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5A38C6" w:rsidRDefault="005A38C6" w:rsidP="00E9269D">
            <w:pPr>
              <w:suppressLineNumbers/>
              <w:rPr>
                <w:rFonts w:ascii="Arial" w:hAnsi="Arial"/>
                <w:b/>
                <w:bCs/>
                <w:sz w:val="26"/>
                <w:szCs w:val="26"/>
                <w:rtl/>
              </w:rPr>
            </w:pPr>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rFonts w:ascii="Arial" w:hAnsi="Arial"/>
                  <w:b/>
                  <w:bCs/>
                  <w:sz w:val="26"/>
                  <w:szCs w:val="26"/>
                  <w:rtl/>
                </w:rPr>
                <w:alias w:val="1573"/>
                <w:tag w:val="1573"/>
                <w:id w:val="-1751030614"/>
                <w:text w:multiLine="1"/>
              </w:sdtPr>
              <w:sdtEndPr/>
              <w:sdtContent>
                <w:r w:rsidRPr="005A38C6">
                  <w:rPr>
                    <w:rFonts w:ascii="Arial" w:hAnsi="Arial"/>
                    <w:b/>
                    <w:bCs/>
                    <w:sz w:val="26"/>
                    <w:szCs w:val="26"/>
                    <w:rtl/>
                  </w:rPr>
                  <w:t>גלעד לובינסקי זיו</w:t>
                </w:r>
                <w:r w:rsidR="005A38C6" w:rsidRPr="005A38C6">
                  <w:rPr>
                    <w:rFonts w:ascii="Arial" w:hAnsi="Arial"/>
                    <w:b/>
                    <w:bCs/>
                    <w:sz w:val="26"/>
                    <w:szCs w:val="26"/>
                    <w:rtl/>
                  </w:rPr>
                  <w:t xml:space="preserve"> – יו"ר ועדה</w:t>
                </w:r>
                <w:r w:rsidR="005A38C6">
                  <w:rPr>
                    <w:rFonts w:ascii="Arial" w:hAnsi="Arial"/>
                    <w:b/>
                    <w:bCs/>
                    <w:sz w:val="26"/>
                    <w:szCs w:val="26"/>
                    <w:rtl/>
                  </w:rPr>
                  <w:br/>
                  <w:t>פרופ' יעקב יהב – חבר ועדה</w:t>
                </w:r>
                <w:r w:rsidR="005A38C6">
                  <w:rPr>
                    <w:rFonts w:ascii="Arial" w:hAnsi="Arial"/>
                    <w:b/>
                    <w:bCs/>
                    <w:sz w:val="26"/>
                    <w:szCs w:val="26"/>
                    <w:rtl/>
                  </w:rPr>
                  <w:br/>
                  <w:t xml:space="preserve">ד"ר איריס אמה חזן – חברת </w:t>
                </w:r>
                <w:r w:rsidR="005A38C6">
                  <w:rPr>
                    <w:rFonts w:ascii="Arial" w:hAnsi="Arial" w:hint="cs"/>
                    <w:b/>
                    <w:bCs/>
                    <w:sz w:val="26"/>
                    <w:szCs w:val="26"/>
                    <w:rtl/>
                  </w:rPr>
                  <w:t>ועדה</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D62A72" w:rsidRDefault="00D62A72" w:rsidP="00D44968">
            <w:pPr>
              <w:suppressLineNumbers/>
              <w:rPr>
                <w:rFonts w:ascii="Arial" w:hAnsi="Arial"/>
                <w:b/>
                <w:bCs/>
                <w:noProof w:val="0"/>
                <w:sz w:val="26"/>
                <w:szCs w:val="26"/>
              </w:rPr>
            </w:pPr>
          </w:p>
          <w:sdt>
            <w:sdtPr>
              <w:rPr>
                <w:rtl/>
              </w:rPr>
              <w:alias w:val="1180"/>
              <w:tag w:val="1180"/>
              <w:id w:val="637458750"/>
              <w:text w:multiLine="1"/>
            </w:sdtPr>
            <w:sdtEndPr/>
            <w:sdtContent>
              <w:p w:rsidR="007B39AA" w:rsidRDefault="00AE19A0" w:rsidP="005A38C6">
                <w:pPr>
                  <w:suppressLineNumbers/>
                  <w:rPr>
                    <w:rFonts w:ascii="Arial" w:hAnsi="Arial"/>
                    <w:b/>
                    <w:bCs/>
                    <w:noProof w:val="0"/>
                    <w:sz w:val="26"/>
                    <w:szCs w:val="26"/>
                    <w:rtl/>
                  </w:rPr>
                </w:pPr>
                <w:r>
                  <w:rPr>
                    <w:rFonts w:ascii="Arial" w:hAnsi="Arial"/>
                    <w:b/>
                    <w:bCs/>
                    <w:noProof w:val="0"/>
                    <w:sz w:val="26"/>
                    <w:szCs w:val="26"/>
                    <w:rtl/>
                  </w:rPr>
                  <w:t>מערער</w:t>
                </w:r>
                <w:r w:rsidR="005A38C6">
                  <w:rPr>
                    <w:rFonts w:ascii="Arial" w:hAnsi="Arial" w:hint="cs"/>
                    <w:b/>
                    <w:bCs/>
                    <w:noProof w:val="0"/>
                    <w:sz w:val="26"/>
                    <w:szCs w:val="26"/>
                    <w:rtl/>
                  </w:rPr>
                  <w:t>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91EB7" w:rsidP="005A38C6">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B859C5">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פלוני</w:t>
                </w:r>
              </w:sdtContent>
            </w:sdt>
            <w:r w:rsidR="00B859C5">
              <w:rPr>
                <w:rFonts w:hint="cs"/>
                <w:rtl/>
              </w:rPr>
              <w:t xml:space="preserve"> </w:t>
            </w:r>
          </w:p>
          <w:p w:rsidR="0094424E" w:rsidRDefault="00791EB7" w:rsidP="005A38C6">
            <w:pPr>
              <w:suppressLineNumbers/>
              <w:rPr>
                <w:b/>
                <w:bCs/>
                <w:noProof w:val="0"/>
                <w:sz w:val="26"/>
                <w:szCs w:val="26"/>
              </w:rPr>
            </w:pPr>
            <w:sdt>
              <w:sdtPr>
                <w:rPr>
                  <w:rFonts w:ascii="Arial" w:hAnsi="Arial"/>
                  <w:b/>
                  <w:bCs/>
                  <w:noProof w:val="0"/>
                  <w:sz w:val="26"/>
                  <w:szCs w:val="26"/>
                  <w:rtl/>
                </w:rPr>
                <w:alias w:val="1462"/>
                <w:tag w:val="1462"/>
                <w:id w:val="1590044963"/>
                <w:text w:multiLine="1"/>
              </w:sdtPr>
              <w:sdtEndPr/>
              <w:sdtContent>
                <w:r w:rsidR="00B859C5">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587812827"/>
                <w:placeholder>
                  <w:docPart w:val="7D8E46D2581B4CD9ACC623ACA7D52F75"/>
                </w:placeholder>
                <w:text w:multiLine="1"/>
              </w:sdtPr>
              <w:sdtEndPr/>
              <w:sdtContent>
                <w:r w:rsidR="00B859C5">
                  <w:rPr>
                    <w:rFonts w:ascii="Arial" w:hAnsi="Arial" w:hint="eastAsia"/>
                    <w:b/>
                    <w:bCs/>
                    <w:noProof w:val="0"/>
                    <w:sz w:val="26"/>
                    <w:szCs w:val="26"/>
                    <w:rtl/>
                  </w:rPr>
                  <w:t>פלוני</w:t>
                </w:r>
              </w:sdtContent>
            </w:sdt>
            <w:r w:rsidR="005A38C6">
              <w:rPr>
                <w:rFonts w:ascii="Arial" w:hAnsi="Arial" w:hint="cs"/>
                <w:b/>
                <w:bCs/>
                <w:noProof w:val="0"/>
                <w:sz w:val="26"/>
                <w:szCs w:val="26"/>
                <w:rtl/>
              </w:rPr>
              <w:t>ת</w:t>
            </w:r>
            <w:r w:rsidR="00B859C5">
              <w:rPr>
                <w:rFonts w:hint="cs"/>
                <w:rtl/>
              </w:rPr>
              <w:t xml:space="preserve"> </w:t>
            </w:r>
          </w:p>
          <w:p w:rsidR="0094424E" w:rsidRDefault="0094424E" w:rsidP="005A38C6">
            <w:pPr>
              <w:suppressLineNumbers/>
              <w:rPr>
                <w:b/>
                <w:bCs/>
                <w:noProof w:val="0"/>
                <w:sz w:val="26"/>
                <w:szCs w:val="26"/>
              </w:rPr>
            </w:pPr>
          </w:p>
        </w:tc>
      </w:tr>
      <w:tr w:rsidR="0094424E">
        <w:trPr>
          <w:jc w:val="center"/>
        </w:trPr>
        <w:tc>
          <w:tcPr>
            <w:tcW w:w="8820" w:type="dxa"/>
            <w:gridSpan w:val="3"/>
          </w:tcPr>
          <w:p w:rsidR="00D62A72" w:rsidRDefault="00D62A72" w:rsidP="00D44968">
            <w:pPr>
              <w:suppressLineNumbers/>
              <w:jc w:val="center"/>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tl/>
              </w:rPr>
            </w:pPr>
          </w:p>
          <w:p w:rsidR="00D62A72" w:rsidRDefault="00D62A72"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791EB7" w:rsidP="005A38C6">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w:t>
                </w:r>
              </w:sdtContent>
            </w:sdt>
          </w:p>
        </w:tc>
        <w:tc>
          <w:tcPr>
            <w:tcW w:w="5571" w:type="dxa"/>
          </w:tcPr>
          <w:p w:rsidR="00CF6BB7" w:rsidRPr="009E461A" w:rsidRDefault="00791EB7" w:rsidP="007C2453">
            <w:pPr>
              <w:suppressLineNumbers/>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קצין התגמולים-משרד הבטחון-אגף השיקום</w:t>
                </w:r>
              </w:sdtContent>
            </w:sdt>
            <w:r w:rsidR="00B859C5">
              <w:rPr>
                <w:rFonts w:hint="cs"/>
                <w:rtl/>
              </w:rPr>
              <w:t xml:space="preserve"> </w:t>
            </w:r>
            <w:r w:rsidR="00B859C5">
              <w:rPr>
                <w:rFonts w:ascii="Arial" w:hAnsi="Arial"/>
                <w:b/>
                <w:bCs/>
                <w:noProof w:val="0"/>
                <w:sz w:val="26"/>
                <w:szCs w:val="26"/>
                <w:rtl/>
              </w:rPr>
              <w:t>ע"י ב"כ עוה"ד</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7B39AA" w:rsidRPr="008110BF" w:rsidRDefault="007B39AA">
            <w:pPr>
              <w:suppressLineNumbers/>
              <w:rPr>
                <w:rFonts w:ascii="Arial" w:hAnsi="Arial"/>
                <w:b/>
                <w:bCs/>
                <w:noProof w:val="0"/>
                <w:sz w:val="26"/>
                <w:szCs w:val="26"/>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8110BF" w:rsidRDefault="008110BF" w:rsidP="008110BF">
      <w:pPr>
        <w:rPr>
          <w:rFonts w:ascii="David" w:hAnsi="David"/>
          <w:rtl/>
        </w:rPr>
      </w:pPr>
      <w:bookmarkStart w:id="0" w:name="NGCSBookmark"/>
      <w:bookmarkEnd w:id="0"/>
    </w:p>
    <w:p w:rsidR="00D62A72" w:rsidRDefault="00D62A72" w:rsidP="008110BF">
      <w:pPr>
        <w:rPr>
          <w:rFonts w:ascii="David" w:hAnsi="David"/>
          <w:rtl/>
        </w:rPr>
      </w:pPr>
    </w:p>
    <w:p w:rsidR="008110BF" w:rsidRDefault="008110BF" w:rsidP="008110BF">
      <w:pPr>
        <w:pStyle w:val="ad"/>
        <w:numPr>
          <w:ilvl w:val="0"/>
          <w:numId w:val="1"/>
        </w:numPr>
        <w:spacing w:line="360" w:lineRule="auto"/>
        <w:ind w:left="714" w:hanging="357"/>
        <w:jc w:val="both"/>
        <w:rPr>
          <w:rFonts w:ascii="David" w:hAnsi="David" w:cs="David"/>
          <w:sz w:val="24"/>
          <w:szCs w:val="24"/>
        </w:rPr>
      </w:pPr>
      <w:r w:rsidRPr="00BF7C9C">
        <w:rPr>
          <w:rFonts w:ascii="David" w:hAnsi="David" w:cs="David" w:hint="cs"/>
          <w:sz w:val="24"/>
          <w:szCs w:val="24"/>
          <w:rtl/>
        </w:rPr>
        <w:t xml:space="preserve">בנם המנוח של המערערים (להלן: </w:t>
      </w:r>
      <w:r w:rsidRPr="00BF7C9C">
        <w:rPr>
          <w:rFonts w:ascii="David" w:hAnsi="David" w:cs="David" w:hint="cs"/>
          <w:b/>
          <w:bCs/>
          <w:sz w:val="24"/>
          <w:szCs w:val="24"/>
          <w:rtl/>
        </w:rPr>
        <w:t>המנוח</w:t>
      </w:r>
      <w:r w:rsidRPr="00BF7C9C">
        <w:rPr>
          <w:rFonts w:ascii="David" w:hAnsi="David" w:cs="David" w:hint="cs"/>
          <w:sz w:val="24"/>
          <w:szCs w:val="24"/>
          <w:rtl/>
        </w:rPr>
        <w:t>) מצא את מותו ביום 23.9.2013, בתאונה טרגית ומצערת אשר ארעה בבית העסק של אביו ואשר במסגרתה נפלה עליו זרוע של מנוף. במסגרת הערעור שלפנינו תוקפים המערער</w:t>
      </w:r>
      <w:r>
        <w:rPr>
          <w:rFonts w:ascii="David" w:hAnsi="David" w:cs="David" w:hint="cs"/>
          <w:sz w:val="24"/>
          <w:szCs w:val="24"/>
          <w:rtl/>
        </w:rPr>
        <w:t>ים</w:t>
      </w:r>
      <w:r w:rsidRPr="00BF7C9C">
        <w:rPr>
          <w:rFonts w:ascii="David" w:hAnsi="David" w:cs="David" w:hint="cs"/>
          <w:sz w:val="24"/>
          <w:szCs w:val="24"/>
          <w:rtl/>
        </w:rPr>
        <w:t xml:space="preserve"> את החלטת המשיב מיום 24.1.2021</w:t>
      </w:r>
      <w:r>
        <w:rPr>
          <w:rFonts w:ascii="David" w:hAnsi="David" w:cs="David" w:hint="cs"/>
          <w:sz w:val="24"/>
          <w:szCs w:val="24"/>
          <w:rtl/>
        </w:rPr>
        <w:t xml:space="preserve">. </w:t>
      </w:r>
      <w:r w:rsidRPr="00BF7C9C">
        <w:rPr>
          <w:rFonts w:ascii="David" w:hAnsi="David" w:cs="David" w:hint="cs"/>
          <w:sz w:val="24"/>
          <w:szCs w:val="24"/>
          <w:rtl/>
        </w:rPr>
        <w:t>בהחלטה</w:t>
      </w:r>
      <w:r>
        <w:rPr>
          <w:rFonts w:ascii="David" w:hAnsi="David" w:cs="David" w:hint="cs"/>
          <w:sz w:val="24"/>
          <w:szCs w:val="24"/>
          <w:rtl/>
        </w:rPr>
        <w:t xml:space="preserve"> נקבע: (א)</w:t>
      </w:r>
      <w:r w:rsidRPr="00BF7C9C">
        <w:rPr>
          <w:rFonts w:ascii="David" w:hAnsi="David" w:cs="David" w:hint="cs"/>
          <w:sz w:val="24"/>
          <w:szCs w:val="24"/>
          <w:rtl/>
        </w:rPr>
        <w:t xml:space="preserve"> כי המסמכים וחומר הראיות שה</w:t>
      </w:r>
      <w:r>
        <w:rPr>
          <w:rFonts w:ascii="David" w:hAnsi="David" w:cs="David" w:hint="cs"/>
          <w:sz w:val="24"/>
          <w:szCs w:val="24"/>
          <w:rtl/>
        </w:rPr>
        <w:t xml:space="preserve">מערערים הביאו </w:t>
      </w:r>
      <w:r w:rsidRPr="00BF7C9C">
        <w:rPr>
          <w:rFonts w:ascii="David" w:hAnsi="David" w:cs="David" w:hint="cs"/>
          <w:sz w:val="24"/>
          <w:szCs w:val="24"/>
          <w:rtl/>
        </w:rPr>
        <w:t>בפני</w:t>
      </w:r>
      <w:r>
        <w:rPr>
          <w:rFonts w:ascii="David" w:hAnsi="David" w:cs="David" w:hint="cs"/>
          <w:sz w:val="24"/>
          <w:szCs w:val="24"/>
          <w:rtl/>
        </w:rPr>
        <w:t xml:space="preserve"> המשיב</w:t>
      </w:r>
      <w:r w:rsidRPr="00BF7C9C">
        <w:rPr>
          <w:rFonts w:ascii="David" w:hAnsi="David" w:cs="David" w:hint="cs"/>
          <w:sz w:val="24"/>
          <w:szCs w:val="24"/>
          <w:rtl/>
        </w:rPr>
        <w:t xml:space="preserve"> מהווים </w:t>
      </w:r>
      <w:r>
        <w:rPr>
          <w:rFonts w:ascii="David" w:hAnsi="David" w:cs="David" w:hint="cs"/>
          <w:sz w:val="24"/>
          <w:szCs w:val="24"/>
          <w:rtl/>
        </w:rPr>
        <w:t>"</w:t>
      </w:r>
      <w:r w:rsidRPr="00BF7C9C">
        <w:rPr>
          <w:rFonts w:ascii="David" w:hAnsi="David" w:cs="David" w:hint="cs"/>
          <w:sz w:val="24"/>
          <w:szCs w:val="24"/>
          <w:rtl/>
        </w:rPr>
        <w:t>ראייה חדשה"; ו</w:t>
      </w:r>
      <w:r>
        <w:rPr>
          <w:rFonts w:ascii="David" w:hAnsi="David" w:cs="David" w:hint="cs"/>
          <w:sz w:val="24"/>
          <w:szCs w:val="24"/>
          <w:rtl/>
        </w:rPr>
        <w:t xml:space="preserve">-(ב) </w:t>
      </w:r>
      <w:r w:rsidRPr="00BF7C9C">
        <w:rPr>
          <w:rFonts w:ascii="David" w:hAnsi="David" w:cs="David" w:hint="cs"/>
          <w:sz w:val="24"/>
          <w:szCs w:val="24"/>
          <w:rtl/>
        </w:rPr>
        <w:t>לאחר בחינת הדברים לגופם</w:t>
      </w:r>
      <w:r>
        <w:rPr>
          <w:rFonts w:ascii="David" w:hAnsi="David" w:cs="David" w:hint="cs"/>
          <w:sz w:val="24"/>
          <w:szCs w:val="24"/>
          <w:rtl/>
        </w:rPr>
        <w:t xml:space="preserve">, </w:t>
      </w:r>
      <w:r w:rsidRPr="00BF7C9C">
        <w:rPr>
          <w:rFonts w:ascii="David" w:hAnsi="David" w:cs="David" w:hint="cs"/>
          <w:sz w:val="24"/>
          <w:szCs w:val="24"/>
          <w:rtl/>
        </w:rPr>
        <w:t>אין לשנות מן ההחלטה הקודמת</w:t>
      </w:r>
      <w:r>
        <w:rPr>
          <w:rFonts w:ascii="David" w:hAnsi="David" w:cs="David" w:hint="cs"/>
          <w:sz w:val="24"/>
          <w:szCs w:val="24"/>
          <w:rtl/>
        </w:rPr>
        <w:t xml:space="preserve"> </w:t>
      </w:r>
      <w:r w:rsidRPr="00BF7C9C">
        <w:rPr>
          <w:rFonts w:ascii="David" w:hAnsi="David" w:cs="David" w:hint="cs"/>
          <w:sz w:val="24"/>
          <w:szCs w:val="24"/>
          <w:rtl/>
        </w:rPr>
        <w:t xml:space="preserve">הדוחה את תביעת המערערים להכרה לפי חוק משפחות חיילים שנספו </w:t>
      </w:r>
      <w:r w:rsidRPr="00BF7C9C">
        <w:rPr>
          <w:rFonts w:ascii="David" w:hAnsi="David" w:cs="David" w:hint="cs"/>
          <w:sz w:val="24"/>
          <w:szCs w:val="24"/>
          <w:rtl/>
        </w:rPr>
        <w:lastRenderedPageBreak/>
        <w:t xml:space="preserve">במערכה (תגמולים ושיקום), התש"י-1950 (להלן: </w:t>
      </w:r>
      <w:r w:rsidRPr="00BF7C9C">
        <w:rPr>
          <w:rFonts w:ascii="David" w:hAnsi="David" w:cs="David" w:hint="cs"/>
          <w:b/>
          <w:bCs/>
          <w:sz w:val="24"/>
          <w:szCs w:val="24"/>
          <w:rtl/>
        </w:rPr>
        <w:t>חוק משפחות חיילים</w:t>
      </w:r>
      <w:r w:rsidRPr="00BF7C9C">
        <w:rPr>
          <w:rFonts w:ascii="David" w:hAnsi="David" w:cs="David" w:hint="cs"/>
          <w:sz w:val="24"/>
          <w:szCs w:val="24"/>
          <w:rtl/>
        </w:rPr>
        <w:t xml:space="preserve">). </w:t>
      </w:r>
      <w:r>
        <w:rPr>
          <w:rFonts w:ascii="David" w:hAnsi="David" w:cs="David" w:hint="cs"/>
          <w:sz w:val="24"/>
          <w:szCs w:val="24"/>
          <w:rtl/>
        </w:rPr>
        <w:t xml:space="preserve">עוד ציין </w:t>
      </w:r>
      <w:r w:rsidRPr="00BF7C9C">
        <w:rPr>
          <w:rFonts w:ascii="David" w:hAnsi="David" w:cs="David" w:hint="cs"/>
          <w:sz w:val="24"/>
          <w:szCs w:val="24"/>
          <w:rtl/>
        </w:rPr>
        <w:t xml:space="preserve">המשיב </w:t>
      </w:r>
      <w:r>
        <w:rPr>
          <w:rFonts w:ascii="David" w:hAnsi="David" w:cs="David" w:hint="cs"/>
          <w:sz w:val="24"/>
          <w:szCs w:val="24"/>
          <w:rtl/>
        </w:rPr>
        <w:t>ב</w:t>
      </w:r>
      <w:r w:rsidRPr="00BF7C9C">
        <w:rPr>
          <w:rFonts w:ascii="David" w:hAnsi="David" w:cs="David" w:hint="cs"/>
          <w:sz w:val="24"/>
          <w:szCs w:val="24"/>
          <w:rtl/>
        </w:rPr>
        <w:t>החלטה</w:t>
      </w:r>
      <w:r>
        <w:rPr>
          <w:rFonts w:ascii="David" w:hAnsi="David" w:cs="David" w:hint="cs"/>
          <w:sz w:val="24"/>
          <w:szCs w:val="24"/>
          <w:rtl/>
        </w:rPr>
        <w:t>,</w:t>
      </w:r>
      <w:r w:rsidRPr="00BF7C9C">
        <w:rPr>
          <w:rFonts w:ascii="David" w:hAnsi="David" w:cs="David" w:hint="cs"/>
          <w:sz w:val="24"/>
          <w:szCs w:val="24"/>
          <w:rtl/>
        </w:rPr>
        <w:t xml:space="preserve"> כי מאחר שהמנוח נהרג שלא בעת מילוי תפקידו, בקש</w:t>
      </w:r>
      <w:r>
        <w:rPr>
          <w:rFonts w:ascii="David" w:hAnsi="David" w:cs="David" w:hint="cs"/>
          <w:sz w:val="24"/>
          <w:szCs w:val="24"/>
          <w:rtl/>
        </w:rPr>
        <w:t>ת המערערים נבחנ</w:t>
      </w:r>
      <w:r w:rsidRPr="00BF7C9C">
        <w:rPr>
          <w:rFonts w:ascii="David" w:hAnsi="David" w:cs="David" w:hint="cs"/>
          <w:sz w:val="24"/>
          <w:szCs w:val="24"/>
          <w:rtl/>
        </w:rPr>
        <w:t xml:space="preserve">ה גם על בסיס </w:t>
      </w:r>
      <w:r>
        <w:rPr>
          <w:rFonts w:ascii="David" w:hAnsi="David" w:cs="David" w:hint="cs"/>
          <w:sz w:val="24"/>
          <w:szCs w:val="24"/>
          <w:rtl/>
        </w:rPr>
        <w:t>הוראותיו של</w:t>
      </w:r>
      <w:r w:rsidRPr="00BF7C9C">
        <w:rPr>
          <w:rFonts w:ascii="David" w:hAnsi="David" w:cs="David" w:hint="cs"/>
          <w:sz w:val="24"/>
          <w:szCs w:val="24"/>
          <w:rtl/>
        </w:rPr>
        <w:t xml:space="preserve"> חוק תגמולים לחיילים ולבני משפחותיהם (חבלה שלא בעת מילוי תפקיד), </w:t>
      </w:r>
      <w:r>
        <w:rPr>
          <w:rFonts w:ascii="David" w:hAnsi="David" w:cs="David" w:hint="cs"/>
          <w:sz w:val="24"/>
          <w:szCs w:val="24"/>
          <w:rtl/>
        </w:rPr>
        <w:t>ה</w:t>
      </w:r>
      <w:r w:rsidRPr="00BF7C9C">
        <w:rPr>
          <w:rFonts w:ascii="David" w:hAnsi="David" w:cs="David" w:hint="cs"/>
          <w:sz w:val="24"/>
          <w:szCs w:val="24"/>
          <w:rtl/>
        </w:rPr>
        <w:t xml:space="preserve">תשמ"ח-1988 (להלן: </w:t>
      </w:r>
      <w:r w:rsidRPr="00BF7C9C">
        <w:rPr>
          <w:rFonts w:ascii="David" w:hAnsi="David" w:cs="David" w:hint="cs"/>
          <w:b/>
          <w:bCs/>
          <w:sz w:val="24"/>
          <w:szCs w:val="24"/>
          <w:rtl/>
        </w:rPr>
        <w:t>חוק חבלה שלא בעת מילוי תפקיד</w:t>
      </w:r>
      <w:r w:rsidRPr="00BF7C9C">
        <w:rPr>
          <w:rFonts w:ascii="David" w:hAnsi="David" w:cs="David" w:hint="cs"/>
          <w:sz w:val="24"/>
          <w:szCs w:val="24"/>
          <w:rtl/>
        </w:rPr>
        <w:t>)</w:t>
      </w:r>
      <w:r>
        <w:rPr>
          <w:rFonts w:ascii="David" w:hAnsi="David" w:cs="David" w:hint="cs"/>
          <w:sz w:val="24"/>
          <w:szCs w:val="24"/>
          <w:rtl/>
        </w:rPr>
        <w:t>. ואולם, כך נקבע, גם תנאי חוק זה אינם מתקיימים במקרה זה. כפי שיפורט מיד, ההחלטה מיום 24.1.2021 היא ההחלטה הרביעית הניתנת בעניינם של המערערים</w:t>
      </w:r>
      <w:r w:rsidRPr="00BF7C9C">
        <w:rPr>
          <w:rFonts w:ascii="David" w:hAnsi="David" w:cs="David" w:hint="cs"/>
          <w:sz w:val="24"/>
          <w:szCs w:val="24"/>
          <w:rtl/>
        </w:rPr>
        <w:t>.</w:t>
      </w:r>
    </w:p>
    <w:p w:rsidR="008110BF" w:rsidRDefault="008110BF" w:rsidP="008110BF">
      <w:pPr>
        <w:pStyle w:val="ad"/>
        <w:spacing w:line="360" w:lineRule="auto"/>
        <w:ind w:left="714"/>
        <w:jc w:val="both"/>
        <w:rPr>
          <w:rFonts w:ascii="David" w:hAnsi="David" w:cs="David"/>
          <w:sz w:val="24"/>
          <w:szCs w:val="24"/>
        </w:rPr>
      </w:pPr>
    </w:p>
    <w:p w:rsidR="008110BF" w:rsidRDefault="008110BF" w:rsidP="008110BF">
      <w:pPr>
        <w:pStyle w:val="ad"/>
        <w:numPr>
          <w:ilvl w:val="0"/>
          <w:numId w:val="1"/>
        </w:numPr>
        <w:spacing w:line="360" w:lineRule="auto"/>
        <w:ind w:left="714" w:hanging="357"/>
        <w:jc w:val="both"/>
        <w:rPr>
          <w:rFonts w:ascii="David" w:hAnsi="David" w:cs="David"/>
          <w:sz w:val="24"/>
          <w:szCs w:val="24"/>
        </w:rPr>
      </w:pPr>
      <w:r>
        <w:rPr>
          <w:rFonts w:ascii="David" w:hAnsi="David" w:cs="David" w:hint="cs"/>
          <w:sz w:val="24"/>
          <w:szCs w:val="24"/>
          <w:rtl/>
        </w:rPr>
        <w:t xml:space="preserve">פסק דין זה ניתן לאחר שהצדדים הגישו סיכומים מטעמם ומבלי שהתקיים דיון הוכחות. כך, מן הטעם שהמשיב ויתר על חקירת עדי המערערים.   </w:t>
      </w:r>
    </w:p>
    <w:p w:rsidR="008110BF" w:rsidRDefault="008110BF" w:rsidP="008110BF">
      <w:pPr>
        <w:pStyle w:val="ad"/>
        <w:spacing w:line="360" w:lineRule="auto"/>
        <w:ind w:left="714"/>
        <w:jc w:val="both"/>
        <w:rPr>
          <w:rFonts w:ascii="David" w:hAnsi="David" w:cs="David"/>
          <w:sz w:val="24"/>
          <w:szCs w:val="24"/>
          <w:rtl/>
        </w:rPr>
      </w:pPr>
    </w:p>
    <w:p w:rsidR="00CC2CF6" w:rsidRPr="00E76692" w:rsidRDefault="00CC2CF6" w:rsidP="008110BF">
      <w:pPr>
        <w:pStyle w:val="ad"/>
        <w:spacing w:line="360" w:lineRule="auto"/>
        <w:ind w:left="714"/>
        <w:jc w:val="both"/>
        <w:rPr>
          <w:rFonts w:ascii="David" w:hAnsi="David" w:cs="David"/>
          <w:sz w:val="24"/>
          <w:szCs w:val="24"/>
          <w:rtl/>
        </w:rPr>
      </w:pPr>
    </w:p>
    <w:p w:rsidR="008110BF" w:rsidRDefault="008110BF" w:rsidP="008110BF">
      <w:pPr>
        <w:pStyle w:val="ad"/>
        <w:spacing w:line="360" w:lineRule="auto"/>
        <w:ind w:left="714"/>
        <w:jc w:val="both"/>
        <w:rPr>
          <w:rFonts w:ascii="David" w:hAnsi="David" w:cs="David"/>
          <w:b/>
          <w:bCs/>
          <w:sz w:val="24"/>
          <w:szCs w:val="24"/>
          <w:u w:val="single"/>
          <w:rtl/>
        </w:rPr>
      </w:pPr>
      <w:r w:rsidRPr="00BF7C9C">
        <w:rPr>
          <w:rFonts w:ascii="David" w:hAnsi="David" w:cs="David" w:hint="cs"/>
          <w:b/>
          <w:bCs/>
          <w:sz w:val="24"/>
          <w:szCs w:val="24"/>
          <w:u w:val="single"/>
          <w:rtl/>
        </w:rPr>
        <w:t>הרקע העובדתי והשתלשלות ה</w:t>
      </w:r>
      <w:r>
        <w:rPr>
          <w:rFonts w:ascii="David" w:hAnsi="David" w:cs="David" w:hint="cs"/>
          <w:b/>
          <w:bCs/>
          <w:sz w:val="24"/>
          <w:szCs w:val="24"/>
          <w:u w:val="single"/>
          <w:rtl/>
        </w:rPr>
        <w:t xml:space="preserve">הליכים </w:t>
      </w:r>
      <w:r w:rsidRPr="00BF7C9C">
        <w:rPr>
          <w:rFonts w:ascii="David" w:hAnsi="David" w:cs="David" w:hint="cs"/>
          <w:b/>
          <w:bCs/>
          <w:sz w:val="24"/>
          <w:szCs w:val="24"/>
          <w:u w:val="single"/>
          <w:rtl/>
        </w:rPr>
        <w:t>הקודמ</w:t>
      </w:r>
      <w:r>
        <w:rPr>
          <w:rFonts w:ascii="David" w:hAnsi="David" w:cs="David" w:hint="cs"/>
          <w:b/>
          <w:bCs/>
          <w:sz w:val="24"/>
          <w:szCs w:val="24"/>
          <w:u w:val="single"/>
          <w:rtl/>
        </w:rPr>
        <w:t>ים</w:t>
      </w:r>
      <w:r w:rsidRPr="00BF7C9C">
        <w:rPr>
          <w:rFonts w:ascii="David" w:hAnsi="David" w:cs="David" w:hint="cs"/>
          <w:b/>
          <w:bCs/>
          <w:sz w:val="24"/>
          <w:szCs w:val="24"/>
          <w:u w:val="single"/>
          <w:rtl/>
        </w:rPr>
        <w:t xml:space="preserve"> </w:t>
      </w:r>
    </w:p>
    <w:p w:rsidR="008110BF" w:rsidRDefault="008110BF" w:rsidP="008110BF">
      <w:pPr>
        <w:pStyle w:val="ad"/>
        <w:spacing w:line="360" w:lineRule="auto"/>
        <w:ind w:left="714"/>
        <w:jc w:val="both"/>
        <w:rPr>
          <w:rFonts w:ascii="David" w:hAnsi="David" w:cs="David"/>
          <w:b/>
          <w:bCs/>
          <w:sz w:val="24"/>
          <w:szCs w:val="24"/>
          <w:u w:val="single"/>
          <w:rtl/>
        </w:rPr>
      </w:pPr>
    </w:p>
    <w:p w:rsidR="008110BF" w:rsidRDefault="008110BF" w:rsidP="008110BF">
      <w:pPr>
        <w:pStyle w:val="ad"/>
        <w:numPr>
          <w:ilvl w:val="0"/>
          <w:numId w:val="1"/>
        </w:numPr>
        <w:spacing w:line="360" w:lineRule="auto"/>
        <w:jc w:val="both"/>
        <w:rPr>
          <w:rFonts w:ascii="David" w:hAnsi="David" w:cs="David"/>
          <w:b/>
          <w:bCs/>
          <w:sz w:val="24"/>
          <w:szCs w:val="24"/>
          <w:u w:val="single"/>
        </w:rPr>
      </w:pPr>
      <w:r>
        <w:rPr>
          <w:rFonts w:ascii="David" w:hAnsi="David" w:cs="David" w:hint="cs"/>
          <w:sz w:val="24"/>
          <w:szCs w:val="24"/>
          <w:rtl/>
        </w:rPr>
        <w:lastRenderedPageBreak/>
        <w:t xml:space="preserve">מן החומר שלפניי עולה התמונה הבאה: המנוח התגייס לצה"ל (לחיל האוויר) ביום 7.4.2013. בחודש יולי 2013 סיים בהצלחה קורס נהגים בבה"ד 6. בתום הקורס התייצב המנוח ביחידתו בחיל האוויר, אולם נשלח חזרה לבה"ד 6 לצורך קבלת צו סיפוח. מששב המנוח לבה"ד 6, נאמר לו כי עליו לצאת למשימת אבטחה. בעקבות דין ודברים אשר התנהל בעניין זה, נמסר למנוח כי עליו להישפט. המנוח עזב את הבסיס, ומאז יום 28.7.2013 הוא נעדר מן השירות שלא ברשות. כאמור לעיל, ביום 23.9.2013 נהרג המנוח בהיותו בבית העסק של אביו, וזאת לאחר שנפלה עליו זרוע של מנוף. בדו"ח סיכום חקירה של מצ"ח מיום 3.12.2013 צוין כי ככל הנראה, המנוח נהרג כתוצאה מתאונת עבודה (ראו נספח י' לכתב התשובה מטעם המשיב, בסעיף 14). </w:t>
      </w:r>
    </w:p>
    <w:p w:rsidR="008110BF" w:rsidRDefault="008110BF" w:rsidP="008110BF">
      <w:pPr>
        <w:pStyle w:val="ad"/>
        <w:spacing w:line="360" w:lineRule="auto"/>
        <w:jc w:val="both"/>
        <w:rPr>
          <w:rFonts w:ascii="David" w:hAnsi="David" w:cs="David"/>
          <w:b/>
          <w:bCs/>
          <w:sz w:val="24"/>
          <w:szCs w:val="24"/>
          <w:u w:val="single"/>
        </w:rPr>
      </w:pPr>
    </w:p>
    <w:p w:rsidR="008110BF" w:rsidRPr="004624E9" w:rsidRDefault="008110BF" w:rsidP="008110BF">
      <w:pPr>
        <w:pStyle w:val="ad"/>
        <w:numPr>
          <w:ilvl w:val="0"/>
          <w:numId w:val="1"/>
        </w:numPr>
        <w:spacing w:line="360" w:lineRule="auto"/>
        <w:jc w:val="both"/>
        <w:rPr>
          <w:rFonts w:ascii="David" w:hAnsi="David" w:cs="David"/>
          <w:b/>
          <w:bCs/>
          <w:sz w:val="24"/>
          <w:szCs w:val="24"/>
          <w:u w:val="single"/>
        </w:rPr>
      </w:pPr>
      <w:r>
        <w:rPr>
          <w:rFonts w:ascii="David" w:hAnsi="David" w:cs="David" w:hint="cs"/>
          <w:sz w:val="24"/>
          <w:szCs w:val="24"/>
          <w:rtl/>
        </w:rPr>
        <w:t xml:space="preserve">המערערים הגישו תביעה להכרה לפי חוק משפחות חיילים, וביום 16.11.2014 דחה המשיב את התביעה. זוהי </w:t>
      </w:r>
      <w:r w:rsidRPr="00AD1123">
        <w:rPr>
          <w:rFonts w:ascii="David" w:hAnsi="David" w:cs="David" w:hint="cs"/>
          <w:b/>
          <w:bCs/>
          <w:sz w:val="24"/>
          <w:szCs w:val="24"/>
          <w:rtl/>
        </w:rPr>
        <w:t>ההחלטה הראשונה</w:t>
      </w:r>
      <w:r>
        <w:rPr>
          <w:rFonts w:ascii="David" w:hAnsi="David" w:cs="David" w:hint="cs"/>
          <w:sz w:val="24"/>
          <w:szCs w:val="24"/>
          <w:rtl/>
        </w:rPr>
        <w:t xml:space="preserve"> אשר ניתנה בעניינם של המערערים. המשיב בסס את הדחייה על הנימוק שלפיו המנוח "[...] מצא את מותו בעת שהיה עריק משרותו הצבאי בנסיבות המהוות התנהגות </w:t>
      </w:r>
      <w:r>
        <w:rPr>
          <w:rFonts w:ascii="David" w:hAnsi="David" w:cs="David" w:hint="cs"/>
          <w:sz w:val="24"/>
          <w:szCs w:val="24"/>
          <w:rtl/>
        </w:rPr>
        <w:lastRenderedPageBreak/>
        <w:t>רעה וחמורה כמשמעותו בחוק" (לעניין הסייג שעניינו "התנהגות רעה וחמורה", ראו סעיף 16 לחוק משפחות חיילים). המערערים לא השיגו על החלטה זו.</w:t>
      </w:r>
    </w:p>
    <w:p w:rsidR="008110BF" w:rsidRPr="006E22D0" w:rsidRDefault="008110BF" w:rsidP="008110BF">
      <w:pPr>
        <w:pStyle w:val="ad"/>
        <w:rPr>
          <w:rFonts w:ascii="David" w:hAnsi="David" w:cs="David"/>
          <w:sz w:val="24"/>
          <w:szCs w:val="24"/>
          <w:rtl/>
        </w:rPr>
      </w:pPr>
    </w:p>
    <w:p w:rsidR="008110BF" w:rsidRDefault="008110BF" w:rsidP="008110BF">
      <w:pPr>
        <w:pStyle w:val="ad"/>
        <w:numPr>
          <w:ilvl w:val="0"/>
          <w:numId w:val="1"/>
        </w:numPr>
        <w:spacing w:line="360" w:lineRule="auto"/>
        <w:jc w:val="both"/>
        <w:rPr>
          <w:rFonts w:ascii="David" w:hAnsi="David" w:cs="David"/>
          <w:sz w:val="24"/>
          <w:szCs w:val="24"/>
        </w:rPr>
      </w:pPr>
      <w:r>
        <w:rPr>
          <w:rFonts w:ascii="David" w:hAnsi="David" w:cs="David" w:hint="cs"/>
          <w:sz w:val="24"/>
          <w:szCs w:val="24"/>
          <w:rtl/>
        </w:rPr>
        <w:t>בשנת 2016 הגישו המערערים בקשה לעיון מחדש, לפי הוראת סעיף 25א(א) לחוק משפחות חיילים. במסגרת הבקשה טענו המערערים כי נודעו להם עובדות חדשות, ולעניין זה אפנה לתיאור העובדתי</w:t>
      </w:r>
      <w:r w:rsidRPr="004624E9">
        <w:rPr>
          <w:rFonts w:ascii="David" w:hAnsi="David" w:cs="David" w:hint="cs"/>
          <w:sz w:val="24"/>
          <w:szCs w:val="24"/>
          <w:rtl/>
        </w:rPr>
        <w:t xml:space="preserve"> </w:t>
      </w:r>
      <w:r>
        <w:rPr>
          <w:rFonts w:ascii="David" w:hAnsi="David" w:cs="David" w:hint="cs"/>
          <w:sz w:val="24"/>
          <w:szCs w:val="24"/>
          <w:rtl/>
        </w:rPr>
        <w:t>אשר נכלל בפסק דין קודם שניתן בעניינם של המערערים,</w:t>
      </w:r>
      <w:r w:rsidRPr="00513918">
        <w:rPr>
          <w:rFonts w:ascii="David" w:hAnsi="David" w:cs="David" w:hint="cs"/>
          <w:sz w:val="24"/>
          <w:szCs w:val="24"/>
          <w:rtl/>
        </w:rPr>
        <w:t xml:space="preserve"> </w:t>
      </w:r>
      <w:r>
        <w:rPr>
          <w:rFonts w:ascii="David" w:hAnsi="David" w:cs="David" w:hint="cs"/>
          <w:sz w:val="24"/>
          <w:szCs w:val="24"/>
          <w:rtl/>
        </w:rPr>
        <w:t xml:space="preserve">והמתייחס לאותן עובדות חדשות (עמ"ח 50514-04-17, פסק דין מיום 12.9.2018 - להלן: </w:t>
      </w:r>
      <w:r w:rsidRPr="004624E9">
        <w:rPr>
          <w:rFonts w:ascii="David" w:hAnsi="David" w:cs="David" w:hint="cs"/>
          <w:b/>
          <w:bCs/>
          <w:sz w:val="24"/>
          <w:szCs w:val="24"/>
          <w:rtl/>
        </w:rPr>
        <w:t>פסק הדין הקודם</w:t>
      </w:r>
      <w:r>
        <w:rPr>
          <w:rFonts w:ascii="David" w:hAnsi="David" w:cs="David" w:hint="cs"/>
          <w:sz w:val="24"/>
          <w:szCs w:val="24"/>
          <w:rtl/>
        </w:rPr>
        <w:t>):</w:t>
      </w:r>
    </w:p>
    <w:p w:rsidR="008110BF" w:rsidRPr="00513918" w:rsidRDefault="008110BF" w:rsidP="008110BF">
      <w:pPr>
        <w:pStyle w:val="ad"/>
        <w:rPr>
          <w:rFonts w:ascii="David" w:hAnsi="David" w:cs="David"/>
          <w:sz w:val="24"/>
          <w:szCs w:val="24"/>
          <w:rtl/>
        </w:rPr>
      </w:pPr>
    </w:p>
    <w:p w:rsidR="008110BF" w:rsidRDefault="008110BF" w:rsidP="008110BF">
      <w:pPr>
        <w:pStyle w:val="ad"/>
        <w:spacing w:line="240" w:lineRule="auto"/>
        <w:ind w:left="1361" w:right="1134"/>
        <w:jc w:val="both"/>
        <w:rPr>
          <w:rFonts w:ascii="David" w:hAnsi="David" w:cs="David"/>
          <w:i/>
          <w:iCs/>
          <w:sz w:val="24"/>
          <w:szCs w:val="24"/>
          <w:rtl/>
        </w:rPr>
      </w:pPr>
      <w:r>
        <w:rPr>
          <w:rFonts w:ascii="David" w:hAnsi="David" w:cs="David" w:hint="cs"/>
          <w:i/>
          <w:iCs/>
          <w:sz w:val="24"/>
          <w:szCs w:val="24"/>
          <w:rtl/>
        </w:rPr>
        <w:t>"</w:t>
      </w:r>
      <w:r w:rsidRPr="004624E9">
        <w:rPr>
          <w:rFonts w:ascii="David" w:hAnsi="David" w:cs="David"/>
          <w:i/>
          <w:iCs/>
          <w:sz w:val="24"/>
          <w:szCs w:val="24"/>
          <w:rtl/>
        </w:rPr>
        <w:t xml:space="preserve">בבקשתם </w:t>
      </w:r>
      <w:r>
        <w:rPr>
          <w:rFonts w:ascii="David" w:hAnsi="David" w:cs="David" w:hint="cs"/>
          <w:i/>
          <w:iCs/>
          <w:sz w:val="24"/>
          <w:szCs w:val="24"/>
          <w:rtl/>
        </w:rPr>
        <w:t xml:space="preserve">[הבקשה לעיון מחדש] </w:t>
      </w:r>
      <w:r w:rsidRPr="004624E9">
        <w:rPr>
          <w:rFonts w:ascii="David" w:hAnsi="David" w:cs="David"/>
          <w:i/>
          <w:iCs/>
          <w:sz w:val="24"/>
          <w:szCs w:val="24"/>
          <w:rtl/>
        </w:rPr>
        <w:t>טענו המערערים, וכך טוענים הם גם לפנינו, כי נודעו להם עובדות חדשות ובכללן, כי בנם עזב את השירות ע</w:t>
      </w:r>
      <w:r>
        <w:rPr>
          <w:rFonts w:ascii="David" w:hAnsi="David" w:cs="David"/>
          <w:i/>
          <w:iCs/>
          <w:sz w:val="24"/>
          <w:szCs w:val="24"/>
          <w:rtl/>
        </w:rPr>
        <w:t xml:space="preserve">ל רקע התנהגות פסולה של הרס"ר – </w:t>
      </w:r>
      <w:r>
        <w:rPr>
          <w:rFonts w:ascii="David" w:hAnsi="David" w:cs="David" w:hint="cs"/>
          <w:i/>
          <w:iCs/>
          <w:sz w:val="24"/>
          <w:szCs w:val="24"/>
          <w:rtl/>
        </w:rPr>
        <w:t>'</w:t>
      </w:r>
      <w:r w:rsidRPr="004624E9">
        <w:rPr>
          <w:rFonts w:ascii="David" w:hAnsi="David" w:cs="David"/>
          <w:i/>
          <w:iCs/>
          <w:sz w:val="24"/>
          <w:szCs w:val="24"/>
          <w:rtl/>
        </w:rPr>
        <w:t>התעמרות שיטתית</w:t>
      </w:r>
      <w:r>
        <w:rPr>
          <w:rFonts w:ascii="David" w:hAnsi="David" w:cs="David" w:hint="cs"/>
          <w:i/>
          <w:iCs/>
          <w:sz w:val="24"/>
          <w:szCs w:val="24"/>
          <w:rtl/>
        </w:rPr>
        <w:t>'</w:t>
      </w:r>
      <w:r w:rsidRPr="004624E9">
        <w:rPr>
          <w:rFonts w:ascii="David" w:hAnsi="David" w:cs="David"/>
          <w:i/>
          <w:iCs/>
          <w:sz w:val="24"/>
          <w:szCs w:val="24"/>
          <w:rtl/>
        </w:rPr>
        <w:t xml:space="preserve"> כלשונם. לטענת המערערים, אם הרס"ר לא היה נוהג כפי שנהג – מאיים, משפיל ופועל שלא כדין (כך לדברי המערערים) – המנוח לא היה נפקד מן השירות והאסון לא היה מתרחש. עוד טענו המערערים, כי הרס"ר מסר דיווח כוזב לגבי ביקור בביתם של המערערים בתקופת הנפקדות; לטענתם, הם כלל לא ידעו שהמנוח עריק. קצין התגמולים ביקש כי יוגשו לו כל המסמכים והראיות התומכים בטענות המערערים. בתגובה, צירפו המערערים תמליל של </w:t>
      </w:r>
      <w:r w:rsidRPr="004624E9">
        <w:rPr>
          <w:rFonts w:ascii="David" w:hAnsi="David" w:cs="David"/>
          <w:i/>
          <w:iCs/>
          <w:sz w:val="24"/>
          <w:szCs w:val="24"/>
          <w:rtl/>
        </w:rPr>
        <w:lastRenderedPageBreak/>
        <w:t>שיחה שהתקיימה בינם לבין שניים ממפקדיו של המנוח, אשר בה דיברו על אישיותו של המנוח, על הרקע לנפקדות ועל התנהלות גורמי צה"ל</w:t>
      </w:r>
      <w:r>
        <w:rPr>
          <w:rFonts w:ascii="David" w:hAnsi="David" w:cs="David" w:hint="cs"/>
          <w:i/>
          <w:iCs/>
          <w:sz w:val="24"/>
          <w:szCs w:val="24"/>
          <w:rtl/>
        </w:rPr>
        <w:t xml:space="preserve">" </w:t>
      </w:r>
      <w:r>
        <w:rPr>
          <w:rFonts w:ascii="David" w:hAnsi="David" w:cs="David" w:hint="cs"/>
          <w:sz w:val="24"/>
          <w:szCs w:val="24"/>
          <w:rtl/>
        </w:rPr>
        <w:t>(סעיף 5 לפסק הדין הקודם)</w:t>
      </w:r>
      <w:r w:rsidRPr="004624E9">
        <w:rPr>
          <w:rFonts w:ascii="David" w:hAnsi="David" w:cs="David"/>
          <w:i/>
          <w:iCs/>
          <w:sz w:val="24"/>
          <w:szCs w:val="24"/>
          <w:rtl/>
        </w:rPr>
        <w:t>.</w:t>
      </w:r>
      <w:r w:rsidRPr="004624E9">
        <w:rPr>
          <w:rFonts w:ascii="David" w:hAnsi="David" w:cs="David" w:hint="cs"/>
          <w:i/>
          <w:iCs/>
          <w:sz w:val="24"/>
          <w:szCs w:val="24"/>
          <w:rtl/>
        </w:rPr>
        <w:t xml:space="preserve"> </w:t>
      </w:r>
    </w:p>
    <w:p w:rsidR="008110BF" w:rsidRDefault="008110BF" w:rsidP="008110BF">
      <w:pPr>
        <w:ind w:right="1134"/>
        <w:jc w:val="both"/>
        <w:rPr>
          <w:rFonts w:ascii="David" w:hAnsi="David"/>
          <w:i/>
          <w:iCs/>
          <w:rtl/>
        </w:rPr>
      </w:pPr>
    </w:p>
    <w:p w:rsidR="008110BF" w:rsidRPr="00AA5A3F" w:rsidRDefault="008110BF" w:rsidP="008110BF">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ביום 13.3.2017 דחה המשיב את הבקשה לעיון מחדש, תוך שקבע כי אין בחומר הראיות שהובא לפניו כדי להוות "ראיה חדשה", ובוודאי שאין בו כדי להצביע על טעות אשר נפלה בהחלטה הקודמת. זוהי </w:t>
      </w:r>
      <w:r w:rsidRPr="00AD1123">
        <w:rPr>
          <w:rFonts w:ascii="David" w:hAnsi="David" w:cs="David" w:hint="cs"/>
          <w:b/>
          <w:bCs/>
          <w:sz w:val="24"/>
          <w:szCs w:val="24"/>
          <w:rtl/>
        </w:rPr>
        <w:t>ההחלטה השנייה</w:t>
      </w:r>
      <w:r>
        <w:rPr>
          <w:rFonts w:ascii="David" w:hAnsi="David" w:cs="David" w:hint="cs"/>
          <w:sz w:val="24"/>
          <w:szCs w:val="24"/>
          <w:rtl/>
        </w:rPr>
        <w:t xml:space="preserve"> אשר ניתנה בעניינם של המערערים. </w:t>
      </w:r>
      <w:r w:rsidRPr="00AA5A3F">
        <w:rPr>
          <w:rFonts w:ascii="David" w:hAnsi="David" w:cs="David" w:hint="cs"/>
          <w:sz w:val="24"/>
          <w:szCs w:val="24"/>
          <w:rtl/>
        </w:rPr>
        <w:t>המערערים הגישו ערעור על החלטת המשיב מיום 13.3.2017, והוא נדון במסגרת עמ"ח 50514-04-17. זהו למעשה ההליך שבו ניתן פס</w:t>
      </w:r>
      <w:r>
        <w:rPr>
          <w:rFonts w:ascii="David" w:hAnsi="David" w:cs="David" w:hint="cs"/>
          <w:sz w:val="24"/>
          <w:szCs w:val="24"/>
          <w:rtl/>
        </w:rPr>
        <w:t>ק</w:t>
      </w:r>
      <w:r w:rsidRPr="00AA5A3F">
        <w:rPr>
          <w:rFonts w:ascii="David" w:hAnsi="David" w:cs="David" w:hint="cs"/>
          <w:sz w:val="24"/>
          <w:szCs w:val="24"/>
          <w:rtl/>
        </w:rPr>
        <w:t xml:space="preserve"> הדין הקודם, ממנו ציטטנו לעיל. </w:t>
      </w:r>
    </w:p>
    <w:p w:rsidR="008110BF" w:rsidRPr="00AA5A3F" w:rsidRDefault="008110BF" w:rsidP="008110BF">
      <w:pPr>
        <w:pStyle w:val="ad"/>
        <w:rPr>
          <w:rFonts w:ascii="David" w:hAnsi="David" w:cs="David"/>
          <w:sz w:val="24"/>
          <w:szCs w:val="24"/>
          <w:rtl/>
        </w:rPr>
      </w:pPr>
    </w:p>
    <w:p w:rsidR="008110BF" w:rsidRPr="00AA5A3F" w:rsidRDefault="008110BF" w:rsidP="008110BF">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עיון בפסק הדין הקודם, אשר ניתן כאמור ביום 12.9.2018, מעלה בבירור כי וועדת הערר נטתה לקבל את עמדת המשיב אשר לפיה גם אם יתברר שיש ממש בטענות המערערים לגבי הנסיבות שהובילו את המנוח לעזוב את השירות, הרי שלא יהיה בכך כדי להוביל להכרה במערערים. וכך, בין היתר, ציינה הוועדה</w:t>
      </w:r>
      <w:r w:rsidRPr="00AA5A3F">
        <w:rPr>
          <w:rFonts w:ascii="David" w:hAnsi="David" w:cs="David" w:hint="cs"/>
          <w:sz w:val="24"/>
          <w:szCs w:val="24"/>
          <w:rtl/>
        </w:rPr>
        <w:t>:</w:t>
      </w:r>
    </w:p>
    <w:p w:rsidR="008110BF" w:rsidRDefault="008110BF" w:rsidP="008110BF">
      <w:pPr>
        <w:pStyle w:val="ad"/>
        <w:spacing w:line="360" w:lineRule="auto"/>
        <w:jc w:val="both"/>
        <w:rPr>
          <w:rFonts w:ascii="David" w:hAnsi="David" w:cs="David"/>
          <w:sz w:val="24"/>
          <w:szCs w:val="24"/>
          <w:rtl/>
        </w:rPr>
      </w:pPr>
    </w:p>
    <w:p w:rsidR="008110BF" w:rsidRPr="00AA5A3F" w:rsidRDefault="008110BF" w:rsidP="008110BF">
      <w:pPr>
        <w:pStyle w:val="ad"/>
        <w:spacing w:line="240" w:lineRule="auto"/>
        <w:ind w:left="1361" w:right="1134"/>
        <w:jc w:val="both"/>
        <w:rPr>
          <w:rFonts w:ascii="David" w:hAnsi="David" w:cs="David"/>
          <w:sz w:val="24"/>
          <w:szCs w:val="24"/>
        </w:rPr>
      </w:pPr>
      <w:r>
        <w:rPr>
          <w:rFonts w:ascii="David" w:hAnsi="David" w:cs="David" w:hint="cs"/>
          <w:i/>
          <w:iCs/>
          <w:sz w:val="24"/>
          <w:szCs w:val="24"/>
          <w:rtl/>
        </w:rPr>
        <w:t>"</w:t>
      </w:r>
      <w:r w:rsidRPr="00AA5A3F">
        <w:rPr>
          <w:rFonts w:ascii="David" w:hAnsi="David" w:cs="David"/>
          <w:i/>
          <w:iCs/>
          <w:sz w:val="24"/>
          <w:szCs w:val="24"/>
          <w:rtl/>
        </w:rPr>
        <w:t xml:space="preserve">המשיב כאמור מחזיק בדעה כי גם אם יש ממש בטענות שהעלו המערערים בבקשה לעיון מחדש (והדבר מוכחש), הרי שאין בכך כדי להקים זכאות לפי הוראות החוק הרלוונטיות. </w:t>
      </w:r>
      <w:r w:rsidRPr="00AA5A3F">
        <w:rPr>
          <w:rFonts w:ascii="David" w:hAnsi="David" w:cs="David"/>
          <w:b/>
          <w:bCs/>
          <w:i/>
          <w:iCs/>
          <w:sz w:val="24"/>
          <w:szCs w:val="24"/>
          <w:rtl/>
        </w:rPr>
        <w:t>נראה, כי עמדה זו נשענת על אדנים משפטיים יציבים</w:t>
      </w:r>
      <w:r w:rsidRPr="00AA5A3F">
        <w:rPr>
          <w:rFonts w:ascii="David" w:hAnsi="David" w:cs="David"/>
          <w:i/>
          <w:iCs/>
          <w:sz w:val="24"/>
          <w:szCs w:val="24"/>
          <w:rtl/>
        </w:rPr>
        <w:t>, ומכל מקום המערערים כלל וכלל אינם מראים אחרת בהליך דנן</w:t>
      </w:r>
      <w:r>
        <w:rPr>
          <w:rFonts w:ascii="David" w:hAnsi="David" w:cs="David" w:hint="cs"/>
          <w:i/>
          <w:iCs/>
          <w:sz w:val="24"/>
          <w:szCs w:val="24"/>
          <w:rtl/>
        </w:rPr>
        <w:t xml:space="preserve">" </w:t>
      </w:r>
      <w:r w:rsidRPr="00AA5A3F">
        <w:rPr>
          <w:rFonts w:ascii="David" w:hAnsi="David" w:cs="David" w:hint="cs"/>
          <w:sz w:val="24"/>
          <w:szCs w:val="24"/>
          <w:rtl/>
        </w:rPr>
        <w:t>(סעיף 9 לפסק הדין</w:t>
      </w:r>
      <w:r>
        <w:rPr>
          <w:rFonts w:ascii="David" w:hAnsi="David" w:cs="David" w:hint="cs"/>
          <w:sz w:val="24"/>
          <w:szCs w:val="24"/>
          <w:rtl/>
        </w:rPr>
        <w:t xml:space="preserve"> הקודם</w:t>
      </w:r>
      <w:r w:rsidRPr="00AA5A3F">
        <w:rPr>
          <w:rFonts w:ascii="David" w:hAnsi="David" w:cs="David" w:hint="cs"/>
          <w:sz w:val="24"/>
          <w:szCs w:val="24"/>
          <w:rtl/>
        </w:rPr>
        <w:t>. ההדגשה שלנו)</w:t>
      </w:r>
      <w:r>
        <w:rPr>
          <w:rFonts w:ascii="David" w:hAnsi="David" w:cs="David" w:hint="cs"/>
          <w:sz w:val="24"/>
          <w:szCs w:val="24"/>
          <w:rtl/>
        </w:rPr>
        <w:t>.</w:t>
      </w:r>
      <w:r w:rsidRPr="00AA5A3F">
        <w:rPr>
          <w:rFonts w:ascii="David" w:hAnsi="David" w:cs="David"/>
          <w:sz w:val="24"/>
          <w:szCs w:val="24"/>
          <w:rtl/>
        </w:rPr>
        <w:t xml:space="preserve"> </w:t>
      </w:r>
    </w:p>
    <w:p w:rsidR="008110BF" w:rsidRDefault="008110BF" w:rsidP="008110BF">
      <w:pPr>
        <w:pStyle w:val="ad"/>
        <w:spacing w:line="360" w:lineRule="auto"/>
        <w:jc w:val="both"/>
        <w:rPr>
          <w:rFonts w:ascii="David" w:hAnsi="David" w:cs="David"/>
          <w:sz w:val="24"/>
          <w:szCs w:val="24"/>
          <w:rtl/>
        </w:rPr>
      </w:pPr>
      <w:r>
        <w:rPr>
          <w:rFonts w:ascii="David" w:hAnsi="David" w:cs="David" w:hint="cs"/>
          <w:sz w:val="24"/>
          <w:szCs w:val="24"/>
          <w:rtl/>
        </w:rPr>
        <w:t xml:space="preserve"> </w:t>
      </w:r>
    </w:p>
    <w:p w:rsidR="008110BF" w:rsidRDefault="008110BF" w:rsidP="008110BF">
      <w:pPr>
        <w:pStyle w:val="ad"/>
        <w:spacing w:line="360" w:lineRule="auto"/>
        <w:jc w:val="both"/>
        <w:rPr>
          <w:rFonts w:ascii="David" w:hAnsi="David" w:cs="David"/>
          <w:sz w:val="24"/>
          <w:szCs w:val="24"/>
          <w:rtl/>
        </w:rPr>
      </w:pPr>
      <w:r>
        <w:rPr>
          <w:rFonts w:ascii="David" w:hAnsi="David" w:cs="David" w:hint="cs"/>
          <w:sz w:val="24"/>
          <w:szCs w:val="24"/>
          <w:rtl/>
        </w:rPr>
        <w:t xml:space="preserve">עם זאת, הוועדה נתנה דעתה לכך שהחלטת הדחייה הראשונה (מיום 16.11.2014), אשר בקשת העיון מחדש הופנתה כלפיה, התבססה על הנימוק שעניינו "התנהגות רעה וחמורה" של המנוח. בהקשר זה קבעה הוועדה, כי הדין מאפשר הצגת ראיות חדשות לשם עיון מחדש בהחלטה הדוחה תביעת הכרה בנימוק של "התנהגות רעה וחמורה", וזאת גם אם בסופו של יום ההכרה תישלל על בסיס נימוקים חלופיים. ובמילותיה של הוועדה: </w:t>
      </w:r>
    </w:p>
    <w:p w:rsidR="008110BF" w:rsidRDefault="008110BF" w:rsidP="008110BF">
      <w:pPr>
        <w:pStyle w:val="ad"/>
        <w:spacing w:line="360" w:lineRule="auto"/>
        <w:jc w:val="both"/>
        <w:rPr>
          <w:rFonts w:ascii="David" w:hAnsi="David" w:cs="David"/>
          <w:sz w:val="24"/>
          <w:szCs w:val="24"/>
          <w:rtl/>
        </w:rPr>
      </w:pPr>
    </w:p>
    <w:p w:rsidR="008110BF" w:rsidRPr="00BB02DD" w:rsidRDefault="008110BF" w:rsidP="008110BF">
      <w:pPr>
        <w:pStyle w:val="ad"/>
        <w:spacing w:line="240" w:lineRule="auto"/>
        <w:ind w:left="1361" w:right="1134"/>
        <w:jc w:val="both"/>
        <w:rPr>
          <w:rFonts w:ascii="David" w:hAnsi="David" w:cs="David"/>
          <w:sz w:val="24"/>
          <w:szCs w:val="24"/>
        </w:rPr>
      </w:pPr>
      <w:r w:rsidRPr="00BB02DD">
        <w:rPr>
          <w:rFonts w:ascii="David" w:hAnsi="David" w:cs="David"/>
          <w:i/>
          <w:iCs/>
          <w:sz w:val="24"/>
          <w:szCs w:val="24"/>
          <w:rtl/>
        </w:rPr>
        <w:t>"10. יחד עם זאת, נשווה לנגד עינינו הורים שכולים, אשר קיבלו לידם החלטה של קצין התגמולים, הדוחה את זכאותם בנימוק שלפיו פטירתו של בנם-החייל הייתה בנס</w:t>
      </w:r>
      <w:r>
        <w:rPr>
          <w:rFonts w:ascii="David" w:hAnsi="David" w:cs="David"/>
          <w:i/>
          <w:iCs/>
          <w:sz w:val="24"/>
          <w:szCs w:val="24"/>
          <w:rtl/>
        </w:rPr>
        <w:t xml:space="preserve">יבות המהוות </w:t>
      </w:r>
      <w:r>
        <w:rPr>
          <w:rFonts w:ascii="David" w:hAnsi="David" w:cs="David" w:hint="cs"/>
          <w:i/>
          <w:iCs/>
          <w:sz w:val="24"/>
          <w:szCs w:val="24"/>
          <w:rtl/>
        </w:rPr>
        <w:lastRenderedPageBreak/>
        <w:t>'</w:t>
      </w:r>
      <w:r>
        <w:rPr>
          <w:rFonts w:ascii="David" w:hAnsi="David" w:cs="David"/>
          <w:i/>
          <w:iCs/>
          <w:sz w:val="24"/>
          <w:szCs w:val="24"/>
          <w:rtl/>
        </w:rPr>
        <w:t>התנהגות רעה וחמורה</w:t>
      </w:r>
      <w:r>
        <w:rPr>
          <w:rFonts w:ascii="David" w:hAnsi="David" w:cs="David" w:hint="cs"/>
          <w:i/>
          <w:iCs/>
          <w:sz w:val="24"/>
          <w:szCs w:val="24"/>
          <w:rtl/>
        </w:rPr>
        <w:t>'</w:t>
      </w:r>
      <w:r w:rsidRPr="00BB02DD">
        <w:rPr>
          <w:rFonts w:ascii="David" w:hAnsi="David" w:cs="David"/>
          <w:i/>
          <w:iCs/>
          <w:sz w:val="24"/>
          <w:szCs w:val="24"/>
          <w:rtl/>
        </w:rPr>
        <w:t xml:space="preserve">. נניח, כי הורים אלה אספו ראיות השופכות אור חדש על </w:t>
      </w:r>
      <w:r w:rsidRPr="00BB02DD">
        <w:rPr>
          <w:rFonts w:ascii="David" w:hAnsi="David" w:cs="David"/>
          <w:b/>
          <w:bCs/>
          <w:i/>
          <w:iCs/>
          <w:sz w:val="24"/>
          <w:szCs w:val="24"/>
          <w:rtl/>
        </w:rPr>
        <w:t>תיוגה של ההתנהגות כ"רעה וחמורה"</w:t>
      </w:r>
      <w:r w:rsidRPr="00BB02DD">
        <w:rPr>
          <w:rFonts w:ascii="David" w:hAnsi="David" w:cs="David"/>
          <w:i/>
          <w:iCs/>
          <w:sz w:val="24"/>
          <w:szCs w:val="24"/>
          <w:rtl/>
        </w:rPr>
        <w:t xml:space="preserve">. אנו סבורים, כי בנסיבות מתאימות ראוי שלא לחסום את האפשרות של ההורים להציג את הראיות החדשות (בהנחה שאכן מדובר בראיות חדשות לפי הפרשנות שאומצה בפסיקה), ולבקש כי קצין התגמולים יבחן מחדש שמא נפלה טעות בהגדרתה של ההתנהגות כ"רעה וחמורה", זאת אף אם בסופו של יום הזכאות תישלל </w:t>
      </w:r>
      <w:r w:rsidRPr="00BB02DD">
        <w:rPr>
          <w:rFonts w:ascii="David" w:hAnsi="David" w:cs="David"/>
          <w:b/>
          <w:bCs/>
          <w:i/>
          <w:iCs/>
          <w:sz w:val="24"/>
          <w:szCs w:val="24"/>
          <w:rtl/>
        </w:rPr>
        <w:t>על יסוד נימוקים אחרים</w:t>
      </w:r>
      <w:r w:rsidRPr="00BB02DD">
        <w:rPr>
          <w:rFonts w:ascii="David" w:hAnsi="David" w:cs="David"/>
          <w:i/>
          <w:iCs/>
          <w:sz w:val="24"/>
          <w:szCs w:val="24"/>
          <w:rtl/>
        </w:rPr>
        <w:t>. מסקנה זו מתבקשת לטעמנו מן האופי המיוחד של ההליך שבו עסקינן ומן המשמעות – לרבות הערכית והסמלית – של הקביעה בדבר "התנהגות רעה וחמורה"</w:t>
      </w:r>
      <w:r>
        <w:rPr>
          <w:rFonts w:ascii="David" w:hAnsi="David" w:cs="David" w:hint="cs"/>
          <w:sz w:val="24"/>
          <w:szCs w:val="24"/>
          <w:rtl/>
        </w:rPr>
        <w:t xml:space="preserve"> (סעיף 10 לפסק הדין הקודם. ההדגשות במקור)</w:t>
      </w:r>
      <w:r w:rsidRPr="00BB02DD">
        <w:rPr>
          <w:rFonts w:ascii="David" w:hAnsi="David" w:cs="David"/>
          <w:sz w:val="24"/>
          <w:szCs w:val="24"/>
          <w:rtl/>
        </w:rPr>
        <w:t xml:space="preserve">. </w:t>
      </w:r>
    </w:p>
    <w:p w:rsidR="008110BF" w:rsidRDefault="008110BF" w:rsidP="008110BF">
      <w:pPr>
        <w:pStyle w:val="ad"/>
        <w:spacing w:line="360" w:lineRule="auto"/>
        <w:jc w:val="both"/>
        <w:rPr>
          <w:rFonts w:ascii="David" w:hAnsi="David" w:cs="David"/>
          <w:sz w:val="24"/>
          <w:szCs w:val="24"/>
          <w:rtl/>
        </w:rPr>
      </w:pPr>
    </w:p>
    <w:p w:rsidR="008110BF" w:rsidRPr="00BB02DD" w:rsidRDefault="008110BF" w:rsidP="008110BF">
      <w:pPr>
        <w:pStyle w:val="ad"/>
        <w:spacing w:line="360" w:lineRule="auto"/>
        <w:jc w:val="both"/>
        <w:rPr>
          <w:rFonts w:ascii="David" w:hAnsi="David" w:cs="David"/>
          <w:sz w:val="24"/>
          <w:szCs w:val="24"/>
          <w:rtl/>
        </w:rPr>
      </w:pPr>
      <w:r>
        <w:rPr>
          <w:rFonts w:ascii="David" w:hAnsi="David" w:cs="David" w:hint="cs"/>
          <w:sz w:val="24"/>
          <w:szCs w:val="24"/>
          <w:rtl/>
        </w:rPr>
        <w:t xml:space="preserve">על רקע דברים אלו; ובשים לב גם להנחת הוועדה שלפיה המערערים לא המציאו למשיב את מכלול הראיות החדשות המצויות בידיהם - הגיעה וועדת הערר לתוצאה האופרטיבית הבאה:  </w:t>
      </w:r>
    </w:p>
    <w:p w:rsidR="008110BF" w:rsidRDefault="008110BF" w:rsidP="008110BF">
      <w:pPr>
        <w:pStyle w:val="ad"/>
        <w:spacing w:line="360" w:lineRule="auto"/>
        <w:jc w:val="both"/>
        <w:rPr>
          <w:rFonts w:ascii="David" w:hAnsi="David" w:cs="David"/>
          <w:sz w:val="24"/>
          <w:szCs w:val="24"/>
          <w:rtl/>
        </w:rPr>
      </w:pPr>
      <w:r>
        <w:rPr>
          <w:rFonts w:ascii="David" w:hAnsi="David" w:cs="David" w:hint="cs"/>
          <w:sz w:val="24"/>
          <w:szCs w:val="24"/>
          <w:rtl/>
        </w:rPr>
        <w:t xml:space="preserve"> </w:t>
      </w:r>
    </w:p>
    <w:p w:rsidR="008110BF" w:rsidRPr="00BB02DD" w:rsidRDefault="008110BF" w:rsidP="008110BF">
      <w:pPr>
        <w:pStyle w:val="ad"/>
        <w:spacing w:line="240" w:lineRule="auto"/>
        <w:ind w:left="1361" w:right="1134"/>
        <w:jc w:val="both"/>
        <w:rPr>
          <w:rFonts w:ascii="David" w:hAnsi="David" w:cs="David"/>
          <w:i/>
          <w:iCs/>
          <w:sz w:val="24"/>
          <w:szCs w:val="24"/>
        </w:rPr>
      </w:pPr>
      <w:r>
        <w:rPr>
          <w:rFonts w:ascii="David" w:hAnsi="David" w:cs="David" w:hint="cs"/>
          <w:i/>
          <w:iCs/>
          <w:sz w:val="24"/>
          <w:szCs w:val="24"/>
          <w:rtl/>
        </w:rPr>
        <w:t>"</w:t>
      </w:r>
      <w:r w:rsidRPr="00BB02DD">
        <w:rPr>
          <w:rFonts w:ascii="David" w:hAnsi="David" w:cs="David"/>
          <w:i/>
          <w:iCs/>
          <w:sz w:val="24"/>
          <w:szCs w:val="24"/>
          <w:rtl/>
        </w:rPr>
        <w:t>13.</w:t>
      </w:r>
      <w:r>
        <w:rPr>
          <w:rFonts w:ascii="David" w:hAnsi="David" w:cs="David" w:hint="cs"/>
          <w:i/>
          <w:iCs/>
          <w:sz w:val="24"/>
          <w:szCs w:val="24"/>
          <w:rtl/>
        </w:rPr>
        <w:t xml:space="preserve"> </w:t>
      </w:r>
      <w:r w:rsidRPr="00BB02DD">
        <w:rPr>
          <w:rFonts w:ascii="David" w:hAnsi="David" w:cs="David"/>
          <w:i/>
          <w:iCs/>
          <w:sz w:val="24"/>
          <w:szCs w:val="24"/>
          <w:rtl/>
        </w:rPr>
        <w:t>לאור האמור</w:t>
      </w:r>
      <w:r w:rsidRPr="006C106E">
        <w:rPr>
          <w:rFonts w:ascii="David" w:hAnsi="David" w:cs="David"/>
          <w:b/>
          <w:bCs/>
          <w:i/>
          <w:iCs/>
          <w:sz w:val="24"/>
          <w:szCs w:val="24"/>
          <w:rtl/>
        </w:rPr>
        <w:t>, ולאור הרושם שעלה מכתבי הטענות ומדברי בא-כוח המערערים בישיבת קדם הערעור, שלפיו ההורים רואים חשיבות רבה בפן הסמלי ובאופן ההתייחסות להתנהגותו של המנוח</w:t>
      </w:r>
      <w:r w:rsidRPr="00BB02DD">
        <w:rPr>
          <w:rFonts w:ascii="David" w:hAnsi="David" w:cs="David"/>
          <w:i/>
          <w:iCs/>
          <w:sz w:val="24"/>
          <w:szCs w:val="24"/>
          <w:rtl/>
        </w:rPr>
        <w:t>, אנו קובעים כך:</w:t>
      </w:r>
    </w:p>
    <w:p w:rsidR="008110BF" w:rsidRPr="00BB02DD" w:rsidRDefault="008110BF" w:rsidP="008110BF">
      <w:pPr>
        <w:pStyle w:val="ad"/>
        <w:spacing w:line="240" w:lineRule="auto"/>
        <w:ind w:left="1361" w:right="1134"/>
        <w:jc w:val="both"/>
        <w:rPr>
          <w:rFonts w:ascii="David" w:hAnsi="David" w:cs="David"/>
          <w:i/>
          <w:iCs/>
          <w:sz w:val="24"/>
          <w:szCs w:val="24"/>
          <w:rtl/>
        </w:rPr>
      </w:pPr>
    </w:p>
    <w:p w:rsidR="008110BF" w:rsidRPr="006C106E" w:rsidRDefault="008110BF" w:rsidP="008110BF">
      <w:pPr>
        <w:pStyle w:val="ad"/>
        <w:spacing w:line="240" w:lineRule="auto"/>
        <w:ind w:left="1440" w:right="1134" w:firstLine="720"/>
        <w:jc w:val="both"/>
        <w:rPr>
          <w:rFonts w:ascii="David" w:hAnsi="David" w:cs="David"/>
          <w:i/>
          <w:iCs/>
          <w:sz w:val="24"/>
          <w:szCs w:val="24"/>
        </w:rPr>
      </w:pPr>
      <w:r>
        <w:rPr>
          <w:rFonts w:ascii="David" w:hAnsi="David" w:cs="David" w:hint="cs"/>
          <w:i/>
          <w:iCs/>
          <w:sz w:val="24"/>
          <w:szCs w:val="24"/>
          <w:rtl/>
        </w:rPr>
        <w:lastRenderedPageBreak/>
        <w:t>ה</w:t>
      </w:r>
      <w:r w:rsidRPr="00BB02DD">
        <w:rPr>
          <w:rFonts w:ascii="David" w:hAnsi="David" w:cs="David"/>
          <w:i/>
          <w:iCs/>
          <w:sz w:val="24"/>
          <w:szCs w:val="24"/>
          <w:rtl/>
        </w:rPr>
        <w:t>משיב ישקול אם לאור עמדתו המשפטית כפי שהוצגה במסגרת הערעור דנן ולאור מכלול הנתונים, יש מקום להפעיל את סמכותו לפי סעיף 25א(א) לחוק, ולהוציא מתחת ידיו החלטה חדשה, שאינה מושתתת על הנימוק בדבר "התנהגות רעה וחמורה" (סייג לזכאות), אלא על אי-קיום תנאי היסוד המקנים זכאות לתגמולים. ככל שהמשיב ימצא שלא לפעול כך, יודיע זאת לבא-כוח המערערים תוך 30 ימים. במקרה כזה פתוחה הדרך לפני המערערים לפנות למשיב בבקשה חדשה לעיון מחדש, ולצרף את מכלול הראיות</w:t>
      </w:r>
      <w:r>
        <w:rPr>
          <w:rFonts w:ascii="David" w:hAnsi="David" w:cs="David"/>
          <w:i/>
          <w:iCs/>
          <w:sz w:val="24"/>
          <w:szCs w:val="24"/>
          <w:rtl/>
        </w:rPr>
        <w:t xml:space="preserve"> התומכות בטענותיהם</w:t>
      </w:r>
      <w:r w:rsidRPr="006C106E">
        <w:rPr>
          <w:rFonts w:ascii="David" w:hAnsi="David" w:cs="David" w:hint="cs"/>
          <w:i/>
          <w:iCs/>
          <w:sz w:val="24"/>
          <w:szCs w:val="24"/>
          <w:rtl/>
        </w:rPr>
        <w:t xml:space="preserve">" </w:t>
      </w:r>
      <w:r w:rsidRPr="006C106E">
        <w:rPr>
          <w:rFonts w:ascii="David" w:hAnsi="David" w:cs="David" w:hint="cs"/>
          <w:sz w:val="24"/>
          <w:szCs w:val="24"/>
          <w:rtl/>
        </w:rPr>
        <w:t>(סעיף 13 לפסק הדין הקודם</w:t>
      </w:r>
      <w:r>
        <w:rPr>
          <w:rFonts w:ascii="David" w:hAnsi="David" w:cs="David" w:hint="cs"/>
          <w:sz w:val="24"/>
          <w:szCs w:val="24"/>
          <w:rtl/>
        </w:rPr>
        <w:t>. ההדגשה שלנו</w:t>
      </w:r>
      <w:r w:rsidRPr="006C106E">
        <w:rPr>
          <w:rFonts w:ascii="David" w:hAnsi="David" w:cs="David" w:hint="cs"/>
          <w:sz w:val="24"/>
          <w:szCs w:val="24"/>
          <w:rtl/>
        </w:rPr>
        <w:t>)</w:t>
      </w:r>
      <w:r w:rsidRPr="006C106E">
        <w:rPr>
          <w:rFonts w:ascii="David" w:hAnsi="David" w:cs="David"/>
          <w:sz w:val="24"/>
          <w:szCs w:val="24"/>
          <w:rtl/>
        </w:rPr>
        <w:t xml:space="preserve">.   </w:t>
      </w:r>
    </w:p>
    <w:p w:rsidR="008110BF" w:rsidRPr="008B312C" w:rsidRDefault="008110BF" w:rsidP="008110BF">
      <w:pPr>
        <w:pStyle w:val="ad"/>
        <w:spacing w:line="240" w:lineRule="auto"/>
        <w:ind w:left="1361" w:right="1134"/>
        <w:jc w:val="both"/>
        <w:rPr>
          <w:rFonts w:ascii="David" w:hAnsi="David" w:cs="David"/>
          <w:sz w:val="24"/>
          <w:szCs w:val="24"/>
          <w:rtl/>
        </w:rPr>
      </w:pPr>
    </w:p>
    <w:p w:rsidR="008110BF" w:rsidRPr="006C106E" w:rsidRDefault="008110BF" w:rsidP="008110BF">
      <w:pPr>
        <w:pStyle w:val="ad"/>
        <w:spacing w:line="240" w:lineRule="auto"/>
        <w:ind w:left="1361" w:right="1134"/>
        <w:jc w:val="both"/>
        <w:rPr>
          <w:rFonts w:ascii="David" w:hAnsi="David" w:cs="David"/>
          <w:sz w:val="24"/>
          <w:szCs w:val="24"/>
        </w:rPr>
      </w:pPr>
    </w:p>
    <w:p w:rsidR="008110BF" w:rsidRDefault="008110BF" w:rsidP="008110BF">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בעקבות פסק הדין הקודם, המערערים הגישו למשיב בקשה נוספת לעיון מחדש. במסגרת זו הגישו המערערים, בין היתר, תצהירים מטעמם, וכן תצהירים מטעם המפקדת הישירה של המנוח בבה"ד 6 ומטעם הרל"שית (ראשת הלשכה) של מפקד בה"ד 6 בעת הרלוונטית. ביום 15.3.2020 דחה המשיב את הבקשה. זוהי </w:t>
      </w:r>
      <w:r w:rsidRPr="006F7EA1">
        <w:rPr>
          <w:rFonts w:ascii="David" w:hAnsi="David" w:cs="David" w:hint="cs"/>
          <w:b/>
          <w:bCs/>
          <w:sz w:val="24"/>
          <w:szCs w:val="24"/>
          <w:rtl/>
        </w:rPr>
        <w:t>ההחלטה השלישית</w:t>
      </w:r>
      <w:r>
        <w:rPr>
          <w:rFonts w:ascii="David" w:hAnsi="David" w:cs="David" w:hint="cs"/>
          <w:sz w:val="24"/>
          <w:szCs w:val="24"/>
          <w:rtl/>
        </w:rPr>
        <w:t xml:space="preserve"> שניתנה בעניינם של המערערים. בהחלטה נקבע כי אין במסמכים ובחומר הראיות כדי להוות "ראייה חדשה" כמשמעותה בחוק. עוד צוין בהחלטה כי המנוח "[...] נהרג בתאונת עבודה, בעת שנעדר מהשרות שלא ברשות ולאחר שלא מילא תפקיד בשירות למעלה מ-30 </w:t>
      </w:r>
      <w:r>
        <w:rPr>
          <w:rFonts w:ascii="David" w:hAnsi="David" w:cs="David" w:hint="cs"/>
          <w:sz w:val="24"/>
          <w:szCs w:val="24"/>
          <w:rtl/>
        </w:rPr>
        <w:lastRenderedPageBreak/>
        <w:t>ימים, נציין כי די בהתקיימות אחד מהתנאים הללו כדי לקבוע שהחוק אינו חל. פטירתו המצערת הינה ללא זיקה לשירותו הצבאי".</w:t>
      </w:r>
    </w:p>
    <w:p w:rsidR="008110BF" w:rsidRPr="006F7EA1" w:rsidRDefault="008110BF" w:rsidP="008110BF">
      <w:pPr>
        <w:pStyle w:val="ad"/>
        <w:spacing w:line="360" w:lineRule="auto"/>
        <w:jc w:val="both"/>
        <w:rPr>
          <w:rFonts w:ascii="David" w:hAnsi="David" w:cs="David"/>
          <w:sz w:val="24"/>
          <w:szCs w:val="24"/>
        </w:rPr>
      </w:pPr>
    </w:p>
    <w:p w:rsidR="008110BF" w:rsidRDefault="008110BF" w:rsidP="008110BF">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המערערים שבו וערערו גם על ההחלטה מיום 15.3.2020 (עמ"ח 22268-06-20), וביום 12.11.2020 ניתן פסק דין מוסכם אשר בו נקבע כדלקמן:</w:t>
      </w:r>
    </w:p>
    <w:p w:rsidR="008110BF" w:rsidRPr="006B0288" w:rsidRDefault="008110BF" w:rsidP="008110BF">
      <w:pPr>
        <w:pStyle w:val="ad"/>
        <w:rPr>
          <w:rFonts w:ascii="David" w:hAnsi="David" w:cs="David"/>
          <w:sz w:val="24"/>
          <w:szCs w:val="24"/>
          <w:rtl/>
        </w:rPr>
      </w:pPr>
    </w:p>
    <w:p w:rsidR="008110BF" w:rsidRDefault="008110BF" w:rsidP="008110BF">
      <w:pPr>
        <w:pStyle w:val="ad"/>
        <w:spacing w:line="360" w:lineRule="auto"/>
        <w:ind w:firstLine="640"/>
        <w:jc w:val="both"/>
        <w:rPr>
          <w:rFonts w:ascii="David" w:hAnsi="David" w:cs="David"/>
          <w:sz w:val="24"/>
          <w:szCs w:val="24"/>
          <w:rtl/>
        </w:rPr>
      </w:pPr>
      <w:r w:rsidRPr="005F0AEA">
        <w:rPr>
          <w:rFonts w:ascii="David" w:hAnsi="David" w:cs="David"/>
          <w:noProof/>
          <w:sz w:val="24"/>
          <w:szCs w:val="24"/>
          <w:rtl/>
        </w:rPr>
        <w:drawing>
          <wp:inline distT="0" distB="0" distL="0" distR="0" wp14:anchorId="2F937D02" wp14:editId="482F9051">
            <wp:extent cx="3675864" cy="1330734"/>
            <wp:effectExtent l="0" t="0" r="1270" b="317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9826" cy="1343029"/>
                    </a:xfrm>
                    <a:prstGeom prst="rect">
                      <a:avLst/>
                    </a:prstGeom>
                  </pic:spPr>
                </pic:pic>
              </a:graphicData>
            </a:graphic>
          </wp:inline>
        </w:drawing>
      </w:r>
    </w:p>
    <w:p w:rsidR="008110BF" w:rsidRDefault="008110BF" w:rsidP="008110BF">
      <w:pPr>
        <w:pStyle w:val="ad"/>
        <w:spacing w:line="360" w:lineRule="auto"/>
        <w:ind w:firstLine="640"/>
        <w:jc w:val="both"/>
        <w:rPr>
          <w:rFonts w:ascii="David" w:hAnsi="David" w:cs="David"/>
          <w:sz w:val="24"/>
          <w:szCs w:val="24"/>
          <w:rtl/>
        </w:rPr>
      </w:pPr>
      <w:r>
        <w:rPr>
          <w:rFonts w:ascii="David" w:hAnsi="David" w:cs="David" w:hint="cs"/>
          <w:sz w:val="24"/>
          <w:szCs w:val="24"/>
          <w:rtl/>
        </w:rPr>
        <w:t xml:space="preserve"> </w:t>
      </w:r>
    </w:p>
    <w:p w:rsidR="008110BF" w:rsidRDefault="008110BF" w:rsidP="008110BF">
      <w:pPr>
        <w:pStyle w:val="ad"/>
        <w:numPr>
          <w:ilvl w:val="0"/>
          <w:numId w:val="1"/>
        </w:numPr>
        <w:spacing w:line="360" w:lineRule="auto"/>
        <w:jc w:val="both"/>
      </w:pPr>
      <w:r w:rsidRPr="002E6460">
        <w:rPr>
          <w:rFonts w:ascii="David" w:hAnsi="David" w:cs="David" w:hint="cs"/>
          <w:sz w:val="24"/>
          <w:szCs w:val="24"/>
          <w:rtl/>
        </w:rPr>
        <w:t>בעקבות כך, ביום 24.1.2021 נתן המשיב החלטה נוספת, היא ההחלטה מושא הערעור שלפנינו</w:t>
      </w:r>
      <w:r>
        <w:rPr>
          <w:rFonts w:ascii="David" w:hAnsi="David" w:cs="David" w:hint="cs"/>
          <w:sz w:val="24"/>
          <w:szCs w:val="24"/>
          <w:rtl/>
        </w:rPr>
        <w:t xml:space="preserve">. זוהי, אפוא, </w:t>
      </w:r>
      <w:r w:rsidRPr="009932CE">
        <w:rPr>
          <w:rFonts w:ascii="David" w:hAnsi="David" w:cs="David" w:hint="cs"/>
          <w:b/>
          <w:bCs/>
          <w:sz w:val="24"/>
          <w:szCs w:val="24"/>
          <w:rtl/>
        </w:rPr>
        <w:t>ההחלטה הרביעית</w:t>
      </w:r>
      <w:r>
        <w:rPr>
          <w:rFonts w:ascii="David" w:hAnsi="David" w:cs="David" w:hint="cs"/>
          <w:sz w:val="24"/>
          <w:szCs w:val="24"/>
          <w:rtl/>
        </w:rPr>
        <w:t xml:space="preserve"> אשר ניתנה בעניינם של המערערים</w:t>
      </w:r>
      <w:r w:rsidRPr="002E6460">
        <w:rPr>
          <w:rFonts w:ascii="David" w:hAnsi="David" w:cs="David" w:hint="cs"/>
          <w:sz w:val="24"/>
          <w:szCs w:val="24"/>
          <w:rtl/>
        </w:rPr>
        <w:t>.</w:t>
      </w:r>
      <w:r>
        <w:rPr>
          <w:rFonts w:ascii="David" w:hAnsi="David" w:cs="David" w:hint="cs"/>
          <w:sz w:val="24"/>
          <w:szCs w:val="24"/>
          <w:rtl/>
        </w:rPr>
        <w:t xml:space="preserve"> כפי שצוין בפתח פסק הדין, במסגרת ההחלטה קבע המשיב כי יש לראות בחומר הראיות שהוגש לו משום "ראיה חדשה". לאחר בחינת </w:t>
      </w:r>
      <w:r>
        <w:rPr>
          <w:rFonts w:ascii="David" w:hAnsi="David" w:cs="David" w:hint="cs"/>
          <w:sz w:val="24"/>
          <w:szCs w:val="24"/>
          <w:rtl/>
        </w:rPr>
        <w:lastRenderedPageBreak/>
        <w:t>הדברים לגופם חזר בו המשיב מנימוק הדחייה שעניינו "התנהגות רעה וחמורה" של המנוח; אולם שב ודחה את תביעת ההכרה על בסיס נימוקים אחרים. למען הנוחות, נביא להלן את נוסח ההחלטה במלואה:</w:t>
      </w:r>
    </w:p>
    <w:p w:rsidR="008110BF" w:rsidRPr="009932CE" w:rsidRDefault="008110BF" w:rsidP="008110BF">
      <w:pPr>
        <w:pStyle w:val="ad"/>
        <w:spacing w:line="360" w:lineRule="auto"/>
        <w:jc w:val="both"/>
      </w:pPr>
    </w:p>
    <w:p w:rsidR="008110BF" w:rsidRDefault="008110BF" w:rsidP="008110BF">
      <w:pPr>
        <w:tabs>
          <w:tab w:val="center" w:pos="4153"/>
        </w:tabs>
        <w:spacing w:line="360" w:lineRule="auto"/>
        <w:jc w:val="both"/>
        <w:rPr>
          <w:rtl/>
        </w:rPr>
      </w:pPr>
      <w:r>
        <w:rPr>
          <w:rFonts w:hint="cs"/>
          <w:rtl/>
        </w:rPr>
        <w:t xml:space="preserve"> </w:t>
      </w:r>
      <w:r>
        <w:tab/>
      </w:r>
      <w:r w:rsidRPr="001F614F">
        <w:rPr>
          <w:rFonts w:cs="Arial"/>
          <w:rtl/>
        </w:rPr>
        <w:drawing>
          <wp:inline distT="0" distB="0" distL="0" distR="0" wp14:anchorId="63C03E0D" wp14:editId="611975A0">
            <wp:extent cx="3659656" cy="4582105"/>
            <wp:effectExtent l="0" t="0" r="0"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78770" cy="4606037"/>
                    </a:xfrm>
                    <a:prstGeom prst="rect">
                      <a:avLst/>
                    </a:prstGeom>
                  </pic:spPr>
                </pic:pic>
              </a:graphicData>
            </a:graphic>
          </wp:inline>
        </w:drawing>
      </w:r>
    </w:p>
    <w:p w:rsidR="008110BF" w:rsidRDefault="008110BF" w:rsidP="008110BF">
      <w:pPr>
        <w:tabs>
          <w:tab w:val="left" w:pos="2868"/>
        </w:tabs>
        <w:ind w:firstLine="1360"/>
        <w:rPr>
          <w:rtl/>
        </w:rPr>
      </w:pPr>
    </w:p>
    <w:p w:rsidR="008110BF" w:rsidRDefault="008110BF" w:rsidP="008110BF">
      <w:pPr>
        <w:tabs>
          <w:tab w:val="left" w:pos="2868"/>
        </w:tabs>
        <w:ind w:firstLine="1360"/>
        <w:rPr>
          <w:rtl/>
        </w:rPr>
      </w:pPr>
    </w:p>
    <w:p w:rsidR="008110BF" w:rsidRDefault="008110BF" w:rsidP="008110BF">
      <w:pPr>
        <w:tabs>
          <w:tab w:val="left" w:pos="2868"/>
        </w:tabs>
        <w:ind w:firstLine="1360"/>
        <w:rPr>
          <w:rtl/>
        </w:rPr>
      </w:pPr>
    </w:p>
    <w:p w:rsidR="008110BF" w:rsidRDefault="008110BF" w:rsidP="008110BF">
      <w:pPr>
        <w:tabs>
          <w:tab w:val="left" w:pos="2868"/>
        </w:tabs>
        <w:ind w:firstLine="1502"/>
        <w:rPr>
          <w:rtl/>
        </w:rPr>
      </w:pPr>
      <w:r w:rsidRPr="00D402A1">
        <w:rPr>
          <w:rFonts w:cs="Arial"/>
          <w:rtl/>
        </w:rPr>
        <w:drawing>
          <wp:inline distT="0" distB="0" distL="0" distR="0" wp14:anchorId="28C27376" wp14:editId="46D444C4">
            <wp:extent cx="3409490" cy="696035"/>
            <wp:effectExtent l="0" t="0" r="635" b="889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6377" cy="707648"/>
                    </a:xfrm>
                    <a:prstGeom prst="rect">
                      <a:avLst/>
                    </a:prstGeom>
                  </pic:spPr>
                </pic:pic>
              </a:graphicData>
            </a:graphic>
          </wp:inline>
        </w:drawing>
      </w:r>
    </w:p>
    <w:p w:rsidR="008110BF" w:rsidRDefault="008110BF" w:rsidP="008110BF">
      <w:pPr>
        <w:tabs>
          <w:tab w:val="left" w:pos="2868"/>
        </w:tabs>
        <w:ind w:firstLine="1360"/>
        <w:rPr>
          <w:rtl/>
        </w:rPr>
      </w:pPr>
    </w:p>
    <w:p w:rsidR="00CC2CF6" w:rsidRDefault="00CC2CF6" w:rsidP="00CC2CF6">
      <w:pPr>
        <w:pStyle w:val="ad"/>
        <w:tabs>
          <w:tab w:val="left" w:pos="2868"/>
        </w:tabs>
        <w:spacing w:line="360" w:lineRule="auto"/>
        <w:jc w:val="both"/>
        <w:rPr>
          <w:rFonts w:ascii="David" w:hAnsi="David" w:cs="David"/>
          <w:sz w:val="24"/>
          <w:szCs w:val="24"/>
        </w:rPr>
      </w:pPr>
    </w:p>
    <w:p w:rsidR="008110BF" w:rsidRPr="00006069" w:rsidRDefault="008110BF" w:rsidP="008110BF">
      <w:pPr>
        <w:pStyle w:val="ad"/>
        <w:numPr>
          <w:ilvl w:val="0"/>
          <w:numId w:val="1"/>
        </w:numPr>
        <w:tabs>
          <w:tab w:val="left" w:pos="2868"/>
        </w:tabs>
        <w:spacing w:line="360" w:lineRule="auto"/>
        <w:jc w:val="both"/>
        <w:rPr>
          <w:rFonts w:ascii="David" w:hAnsi="David" w:cs="David"/>
          <w:sz w:val="24"/>
          <w:szCs w:val="24"/>
        </w:rPr>
      </w:pPr>
      <w:r w:rsidRPr="00006069">
        <w:rPr>
          <w:rFonts w:ascii="David" w:hAnsi="David" w:cs="David" w:hint="cs"/>
          <w:sz w:val="24"/>
          <w:szCs w:val="24"/>
          <w:rtl/>
        </w:rPr>
        <w:t xml:space="preserve">מכאן הערעור שלפנינו. המערערים עותרים </w:t>
      </w:r>
      <w:r>
        <w:rPr>
          <w:rFonts w:ascii="David" w:hAnsi="David" w:cs="David" w:hint="cs"/>
          <w:sz w:val="24"/>
          <w:szCs w:val="24"/>
          <w:rtl/>
        </w:rPr>
        <w:t xml:space="preserve">כי </w:t>
      </w:r>
      <w:r w:rsidRPr="00006069">
        <w:rPr>
          <w:rFonts w:ascii="David" w:hAnsi="David" w:cs="David" w:hint="cs"/>
          <w:sz w:val="24"/>
          <w:szCs w:val="24"/>
          <w:rtl/>
        </w:rPr>
        <w:t xml:space="preserve">נתערב בהחלטת המשיב ונקבל את תביעת ההכרה מטעמם. לוז טענתם של המערערים הינו כי </w:t>
      </w:r>
      <w:r>
        <w:rPr>
          <w:rFonts w:ascii="David" w:hAnsi="David" w:cs="David" w:hint="cs"/>
          <w:sz w:val="24"/>
          <w:szCs w:val="24"/>
          <w:rtl/>
        </w:rPr>
        <w:t>ה</w:t>
      </w:r>
      <w:r w:rsidRPr="00006069">
        <w:rPr>
          <w:rFonts w:ascii="David" w:hAnsi="David" w:cs="David" w:hint="cs"/>
          <w:sz w:val="24"/>
          <w:szCs w:val="24"/>
          <w:rtl/>
        </w:rPr>
        <w:t xml:space="preserve">התנהגות הרעה של הרס"ר כלפי </w:t>
      </w:r>
      <w:r>
        <w:rPr>
          <w:rFonts w:ascii="David" w:hAnsi="David" w:cs="David" w:hint="cs"/>
          <w:sz w:val="24"/>
          <w:szCs w:val="24"/>
          <w:rtl/>
        </w:rPr>
        <w:t xml:space="preserve">בנם </w:t>
      </w:r>
      <w:r w:rsidRPr="00006069">
        <w:rPr>
          <w:rFonts w:ascii="David" w:hAnsi="David" w:cs="David" w:hint="cs"/>
          <w:sz w:val="24"/>
          <w:szCs w:val="24"/>
          <w:rtl/>
        </w:rPr>
        <w:t xml:space="preserve">המנוח (כך על פי הנטען) מהווה "סיבה שבלעדיה אין" למותו של המנוח. על פי הילך טיעון זה, אלמלא הרס"ר היה מתעמר במנוח, לא היה </w:t>
      </w:r>
      <w:r>
        <w:rPr>
          <w:rFonts w:ascii="David" w:hAnsi="David" w:cs="David" w:hint="cs"/>
          <w:sz w:val="24"/>
          <w:szCs w:val="24"/>
          <w:rtl/>
        </w:rPr>
        <w:t xml:space="preserve">המנוח </w:t>
      </w:r>
      <w:r w:rsidRPr="00006069">
        <w:rPr>
          <w:rFonts w:ascii="David" w:hAnsi="David" w:cs="David" w:hint="cs"/>
          <w:sz w:val="24"/>
          <w:szCs w:val="24"/>
          <w:rtl/>
        </w:rPr>
        <w:t xml:space="preserve">עוזב את השירות </w:t>
      </w:r>
      <w:r>
        <w:rPr>
          <w:rFonts w:ascii="David" w:hAnsi="David" w:cs="David" w:hint="cs"/>
          <w:sz w:val="24"/>
          <w:szCs w:val="24"/>
          <w:rtl/>
        </w:rPr>
        <w:t xml:space="preserve">הצבאי, </w:t>
      </w:r>
      <w:r w:rsidRPr="00006069">
        <w:rPr>
          <w:rFonts w:ascii="David" w:hAnsi="David" w:cs="David" w:hint="cs"/>
          <w:sz w:val="24"/>
          <w:szCs w:val="24"/>
          <w:rtl/>
        </w:rPr>
        <w:t>וממילא לא היה מוצא את מותו בתאונה אשר אירעה ב</w:t>
      </w:r>
      <w:r>
        <w:rPr>
          <w:rFonts w:ascii="David" w:hAnsi="David" w:cs="David" w:hint="cs"/>
          <w:sz w:val="24"/>
          <w:szCs w:val="24"/>
          <w:rtl/>
        </w:rPr>
        <w:t xml:space="preserve">יום 23.9.2013 </w:t>
      </w:r>
      <w:r w:rsidRPr="00006069">
        <w:rPr>
          <w:rFonts w:ascii="David" w:hAnsi="David" w:cs="David" w:hint="cs"/>
          <w:sz w:val="24"/>
          <w:szCs w:val="24"/>
          <w:rtl/>
        </w:rPr>
        <w:t>(ראו למשל</w:t>
      </w:r>
      <w:r>
        <w:rPr>
          <w:rFonts w:ascii="David" w:hAnsi="David" w:cs="David" w:hint="cs"/>
          <w:sz w:val="24"/>
          <w:szCs w:val="24"/>
          <w:rtl/>
        </w:rPr>
        <w:t>,</w:t>
      </w:r>
      <w:r w:rsidRPr="00006069">
        <w:rPr>
          <w:rFonts w:ascii="David" w:hAnsi="David" w:cs="David" w:hint="cs"/>
          <w:sz w:val="24"/>
          <w:szCs w:val="24"/>
          <w:rtl/>
        </w:rPr>
        <w:t xml:space="preserve"> סעיף 42 לסיכומי המערערים). </w:t>
      </w:r>
    </w:p>
    <w:p w:rsidR="008110BF" w:rsidRPr="00006069" w:rsidRDefault="008110BF" w:rsidP="008110BF">
      <w:pPr>
        <w:pStyle w:val="ad"/>
        <w:rPr>
          <w:rFonts w:ascii="David" w:hAnsi="David" w:cs="David"/>
          <w:sz w:val="24"/>
          <w:szCs w:val="24"/>
          <w:rtl/>
        </w:rPr>
      </w:pPr>
    </w:p>
    <w:p w:rsidR="008110BF" w:rsidRDefault="008110BF" w:rsidP="008110BF">
      <w:pPr>
        <w:pStyle w:val="ad"/>
        <w:numPr>
          <w:ilvl w:val="0"/>
          <w:numId w:val="1"/>
        </w:numPr>
        <w:spacing w:line="360" w:lineRule="auto"/>
        <w:jc w:val="both"/>
        <w:rPr>
          <w:rFonts w:ascii="David" w:hAnsi="David" w:cs="David"/>
          <w:sz w:val="24"/>
          <w:szCs w:val="24"/>
        </w:rPr>
      </w:pPr>
      <w:r w:rsidRPr="00016FBC">
        <w:rPr>
          <w:rFonts w:ascii="David" w:hAnsi="David" w:cs="David" w:hint="cs"/>
          <w:sz w:val="24"/>
          <w:szCs w:val="24"/>
          <w:rtl/>
        </w:rPr>
        <w:t xml:space="preserve">האמת ניתנת להיאמר, כי הקושי הגלום בטענת המערערים בולט לעין </w:t>
      </w:r>
      <w:r>
        <w:rPr>
          <w:rFonts w:ascii="David" w:hAnsi="David" w:cs="David" w:hint="cs"/>
          <w:sz w:val="24"/>
          <w:szCs w:val="24"/>
          <w:rtl/>
        </w:rPr>
        <w:t>אף</w:t>
      </w:r>
      <w:r w:rsidRPr="00016FBC">
        <w:rPr>
          <w:rFonts w:ascii="David" w:hAnsi="David" w:cs="David" w:hint="cs"/>
          <w:sz w:val="24"/>
          <w:szCs w:val="24"/>
          <w:rtl/>
        </w:rPr>
        <w:t xml:space="preserve"> בטרם צוללים לדיון בהוראות השונות של חוק משפחות חיילים ו</w:t>
      </w:r>
      <w:r>
        <w:rPr>
          <w:rFonts w:ascii="David" w:hAnsi="David" w:cs="David" w:hint="cs"/>
          <w:sz w:val="24"/>
          <w:szCs w:val="24"/>
          <w:rtl/>
        </w:rPr>
        <w:t xml:space="preserve">של </w:t>
      </w:r>
      <w:r w:rsidRPr="00016FBC">
        <w:rPr>
          <w:rFonts w:ascii="David" w:hAnsi="David" w:cs="David" w:hint="cs"/>
          <w:sz w:val="24"/>
          <w:szCs w:val="24"/>
          <w:rtl/>
        </w:rPr>
        <w:t xml:space="preserve">חוק חבלה שלא בעת מילוי תפקיד. אכן, התאונה שבה מצא המנוח את מותו </w:t>
      </w:r>
      <w:r>
        <w:rPr>
          <w:rFonts w:ascii="David" w:hAnsi="David" w:cs="David" w:hint="cs"/>
          <w:sz w:val="24"/>
          <w:szCs w:val="24"/>
          <w:rtl/>
        </w:rPr>
        <w:t>מהווה</w:t>
      </w:r>
      <w:r w:rsidRPr="00016FBC">
        <w:rPr>
          <w:rFonts w:ascii="David" w:hAnsi="David" w:cs="David" w:hint="cs"/>
          <w:sz w:val="24"/>
          <w:szCs w:val="24"/>
          <w:rtl/>
        </w:rPr>
        <w:t xml:space="preserve"> אירוע אזרחי מובהק. מדובר באירוע אשר התרחש במיקום אזרחי</w:t>
      </w:r>
      <w:r>
        <w:rPr>
          <w:rFonts w:ascii="David" w:hAnsi="David" w:cs="David" w:hint="cs"/>
          <w:sz w:val="24"/>
          <w:szCs w:val="24"/>
          <w:rtl/>
        </w:rPr>
        <w:t>;</w:t>
      </w:r>
      <w:r w:rsidRPr="00016FBC">
        <w:rPr>
          <w:rFonts w:ascii="David" w:hAnsi="David" w:cs="David" w:hint="cs"/>
          <w:sz w:val="24"/>
          <w:szCs w:val="24"/>
          <w:rtl/>
        </w:rPr>
        <w:t xml:space="preserve"> </w:t>
      </w:r>
      <w:r w:rsidRPr="00016FBC">
        <w:rPr>
          <w:rFonts w:ascii="David" w:hAnsi="David" w:cs="David" w:hint="cs"/>
          <w:sz w:val="24"/>
          <w:szCs w:val="24"/>
          <w:rtl/>
        </w:rPr>
        <w:lastRenderedPageBreak/>
        <w:t>בנסיבות אזרחיות</w:t>
      </w:r>
      <w:r>
        <w:rPr>
          <w:rFonts w:ascii="David" w:hAnsi="David" w:cs="David" w:hint="cs"/>
          <w:sz w:val="24"/>
          <w:szCs w:val="24"/>
          <w:rtl/>
        </w:rPr>
        <w:t>;</w:t>
      </w:r>
      <w:r w:rsidRPr="00016FBC">
        <w:rPr>
          <w:rFonts w:ascii="David" w:hAnsi="David" w:cs="David" w:hint="cs"/>
          <w:sz w:val="24"/>
          <w:szCs w:val="24"/>
          <w:rtl/>
        </w:rPr>
        <w:t xml:space="preserve"> תוך כדי פעילות וולנטרית ש</w:t>
      </w:r>
      <w:r>
        <w:rPr>
          <w:rFonts w:ascii="David" w:hAnsi="David" w:cs="David" w:hint="cs"/>
          <w:sz w:val="24"/>
          <w:szCs w:val="24"/>
          <w:rtl/>
        </w:rPr>
        <w:t xml:space="preserve">בצע </w:t>
      </w:r>
      <w:r w:rsidRPr="00016FBC">
        <w:rPr>
          <w:rFonts w:ascii="David" w:hAnsi="David" w:cs="David" w:hint="cs"/>
          <w:sz w:val="24"/>
          <w:szCs w:val="24"/>
          <w:rtl/>
        </w:rPr>
        <w:t>המנוח ללא קשר לשירות הצבאי</w:t>
      </w:r>
      <w:r>
        <w:rPr>
          <w:rFonts w:ascii="David" w:hAnsi="David" w:cs="David" w:hint="cs"/>
          <w:sz w:val="24"/>
          <w:szCs w:val="24"/>
          <w:rtl/>
        </w:rPr>
        <w:t>,</w:t>
      </w:r>
      <w:r w:rsidRPr="00016FBC">
        <w:rPr>
          <w:rFonts w:ascii="David" w:hAnsi="David" w:cs="David" w:hint="cs"/>
          <w:sz w:val="24"/>
          <w:szCs w:val="24"/>
          <w:rtl/>
        </w:rPr>
        <w:t xml:space="preserve"> ובזמן שהוא אינו מצוי בשירות משך קרוב לחודשיים ימים (לאחר שעזב את השירות על דעת עצמו)</w:t>
      </w:r>
      <w:r>
        <w:rPr>
          <w:rFonts w:ascii="David" w:hAnsi="David" w:cs="David" w:hint="cs"/>
          <w:sz w:val="24"/>
          <w:szCs w:val="24"/>
          <w:rtl/>
        </w:rPr>
        <w:t>.</w:t>
      </w:r>
      <w:r w:rsidRPr="00016FBC">
        <w:rPr>
          <w:rFonts w:ascii="David" w:hAnsi="David" w:cs="David" w:hint="cs"/>
          <w:sz w:val="24"/>
          <w:szCs w:val="24"/>
          <w:rtl/>
        </w:rPr>
        <w:t xml:space="preserve"> </w:t>
      </w:r>
      <w:r>
        <w:rPr>
          <w:rFonts w:ascii="David" w:hAnsi="David" w:cs="David" w:hint="cs"/>
          <w:sz w:val="24"/>
          <w:szCs w:val="24"/>
          <w:rtl/>
        </w:rPr>
        <w:t>אכן, דומה כי בין נסיבות התאונה לבין השירות הצבאי אין דבר וחצי דבר</w:t>
      </w:r>
      <w:r w:rsidRPr="00016FBC">
        <w:rPr>
          <w:rFonts w:ascii="David" w:hAnsi="David" w:cs="David" w:hint="cs"/>
          <w:sz w:val="24"/>
          <w:szCs w:val="24"/>
          <w:rtl/>
        </w:rPr>
        <w:t xml:space="preserve"> (וראו בהקשר זה את חוות דעת הפרקליטות הצבאית מיום 13.1.2014, בנוגע לחקירת נסיבות מותו של המנוח, בה נכתב בין היתר (בסעיף 3) כי "[...] האירוע ארע </w:t>
      </w:r>
      <w:r w:rsidRPr="00016FBC">
        <w:rPr>
          <w:rFonts w:ascii="David" w:hAnsi="David" w:cs="David" w:hint="cs"/>
          <w:b/>
          <w:bCs/>
          <w:sz w:val="24"/>
          <w:szCs w:val="24"/>
          <w:rtl/>
        </w:rPr>
        <w:t>בנסיבות אזרחיות מובהקות</w:t>
      </w:r>
      <w:r w:rsidRPr="00016FBC">
        <w:rPr>
          <w:rFonts w:ascii="David" w:hAnsi="David" w:cs="David" w:hint="cs"/>
          <w:sz w:val="24"/>
          <w:szCs w:val="24"/>
          <w:rtl/>
        </w:rPr>
        <w:t xml:space="preserve"> [...]" - עמ' 100 לסיכומי המערערים). קשה להלום כי אירוע מעין זה יבוא בגדרם של חוקי </w:t>
      </w:r>
      <w:r>
        <w:rPr>
          <w:rFonts w:ascii="David" w:hAnsi="David" w:cs="David" w:hint="cs"/>
          <w:sz w:val="24"/>
          <w:szCs w:val="24"/>
          <w:rtl/>
        </w:rPr>
        <w:t>ה</w:t>
      </w:r>
      <w:r w:rsidRPr="00016FBC">
        <w:rPr>
          <w:rFonts w:ascii="David" w:hAnsi="David" w:cs="David" w:hint="cs"/>
          <w:sz w:val="24"/>
          <w:szCs w:val="24"/>
          <w:rtl/>
        </w:rPr>
        <w:t>תגמולי</w:t>
      </w:r>
      <w:r>
        <w:rPr>
          <w:rFonts w:ascii="David" w:hAnsi="David" w:cs="David" w:hint="cs"/>
          <w:sz w:val="24"/>
          <w:szCs w:val="24"/>
          <w:rtl/>
        </w:rPr>
        <w:t>ם, וזאת גם אם נניח שהחלטת המנוח לעזוב את השירות שלא ברשות, התקבלה כתוצאה מהתנהגות בלתי ראויה של הרס"ר</w:t>
      </w:r>
      <w:r w:rsidRPr="00016FBC">
        <w:rPr>
          <w:rFonts w:ascii="David" w:hAnsi="David" w:cs="David" w:hint="cs"/>
          <w:sz w:val="24"/>
          <w:szCs w:val="24"/>
          <w:rtl/>
        </w:rPr>
        <w:t xml:space="preserve">. </w:t>
      </w:r>
    </w:p>
    <w:p w:rsidR="008110BF" w:rsidRPr="005B14D1" w:rsidRDefault="008110BF" w:rsidP="008110BF">
      <w:pPr>
        <w:pStyle w:val="ad"/>
        <w:rPr>
          <w:rFonts w:ascii="David" w:hAnsi="David" w:cs="David"/>
          <w:sz w:val="24"/>
          <w:szCs w:val="24"/>
          <w:rtl/>
        </w:rPr>
      </w:pPr>
    </w:p>
    <w:p w:rsidR="008110BF" w:rsidRPr="00016FBC" w:rsidRDefault="008110BF" w:rsidP="008110BF">
      <w:pPr>
        <w:pStyle w:val="ad"/>
        <w:numPr>
          <w:ilvl w:val="0"/>
          <w:numId w:val="1"/>
        </w:numPr>
        <w:spacing w:line="360" w:lineRule="auto"/>
        <w:jc w:val="both"/>
        <w:rPr>
          <w:rFonts w:ascii="David" w:hAnsi="David" w:cs="David"/>
          <w:sz w:val="24"/>
          <w:szCs w:val="24"/>
        </w:rPr>
      </w:pPr>
      <w:r w:rsidRPr="00016FBC">
        <w:rPr>
          <w:rFonts w:ascii="David" w:hAnsi="David" w:cs="David" w:hint="cs"/>
          <w:sz w:val="24"/>
          <w:szCs w:val="24"/>
          <w:rtl/>
        </w:rPr>
        <w:t xml:space="preserve">משאמרנו דברים כלליים אלה, נפנה להוראות הדין והפסיקה ונראה כי אכן, החלת המבחנים </w:t>
      </w:r>
      <w:r>
        <w:rPr>
          <w:rFonts w:ascii="David" w:hAnsi="David" w:cs="David" w:hint="cs"/>
          <w:sz w:val="24"/>
          <w:szCs w:val="24"/>
          <w:rtl/>
        </w:rPr>
        <w:t xml:space="preserve">הרלוונטיים </w:t>
      </w:r>
      <w:r w:rsidRPr="00016FBC">
        <w:rPr>
          <w:rFonts w:ascii="David" w:hAnsi="David" w:cs="David" w:hint="cs"/>
          <w:sz w:val="24"/>
          <w:szCs w:val="24"/>
          <w:rtl/>
        </w:rPr>
        <w:t xml:space="preserve">מובילה לכלל מסקנה כי צדק המשיב בהחלטתו לדחות את תביעת ההכרה שהגישו המערערים. </w:t>
      </w:r>
      <w:r>
        <w:rPr>
          <w:rFonts w:ascii="David" w:hAnsi="David" w:cs="David" w:hint="cs"/>
          <w:sz w:val="24"/>
          <w:szCs w:val="24"/>
          <w:rtl/>
        </w:rPr>
        <w:t xml:space="preserve">נוכח הטענות שהועלו בפנינו, נתייחס הן לשאלת תחולתו של חוק משפחות חיילים; והן - בנפרד - לשאלת תחולתו של חוק חבלה שלא בעת מילוי תפקיד. </w:t>
      </w:r>
      <w:r w:rsidRPr="00016FBC">
        <w:rPr>
          <w:rFonts w:ascii="David" w:hAnsi="David" w:cs="David" w:hint="cs"/>
          <w:sz w:val="24"/>
          <w:szCs w:val="24"/>
          <w:rtl/>
        </w:rPr>
        <w:t xml:space="preserve"> </w:t>
      </w:r>
    </w:p>
    <w:p w:rsidR="008110BF" w:rsidRDefault="008110BF" w:rsidP="008110BF">
      <w:pPr>
        <w:pStyle w:val="ad"/>
        <w:tabs>
          <w:tab w:val="left" w:pos="2868"/>
        </w:tabs>
        <w:spacing w:line="360" w:lineRule="auto"/>
        <w:ind w:left="714"/>
        <w:jc w:val="both"/>
        <w:rPr>
          <w:rFonts w:ascii="David" w:hAnsi="David" w:cs="David"/>
          <w:sz w:val="24"/>
          <w:szCs w:val="24"/>
        </w:rPr>
      </w:pPr>
    </w:p>
    <w:p w:rsidR="008110BF" w:rsidRDefault="008110BF" w:rsidP="008110BF">
      <w:pPr>
        <w:tabs>
          <w:tab w:val="left" w:pos="2868"/>
        </w:tabs>
        <w:spacing w:line="360" w:lineRule="auto"/>
        <w:jc w:val="both"/>
        <w:rPr>
          <w:rFonts w:ascii="David" w:hAnsi="David"/>
          <w:b/>
          <w:bCs/>
          <w:u w:val="single"/>
          <w:rtl/>
        </w:rPr>
      </w:pPr>
      <w:r w:rsidRPr="0081558A">
        <w:rPr>
          <w:rFonts w:ascii="David" w:hAnsi="David" w:hint="cs"/>
          <w:b/>
          <w:bCs/>
          <w:u w:val="single"/>
          <w:rtl/>
        </w:rPr>
        <w:lastRenderedPageBreak/>
        <w:t xml:space="preserve">תנאי ההכרה הקבועים בחוק משפחות </w:t>
      </w:r>
      <w:r>
        <w:rPr>
          <w:rFonts w:ascii="David" w:hAnsi="David" w:hint="cs"/>
          <w:b/>
          <w:bCs/>
          <w:u w:val="single"/>
          <w:rtl/>
        </w:rPr>
        <w:t xml:space="preserve">חיילים </w:t>
      </w:r>
      <w:r w:rsidRPr="0081558A">
        <w:rPr>
          <w:rFonts w:ascii="David" w:hAnsi="David" w:hint="cs"/>
          <w:b/>
          <w:bCs/>
          <w:u w:val="single"/>
          <w:rtl/>
        </w:rPr>
        <w:t>אינם מתקיימים בענייננו</w:t>
      </w:r>
    </w:p>
    <w:p w:rsidR="008110BF" w:rsidRDefault="008110BF" w:rsidP="008110BF">
      <w:pPr>
        <w:tabs>
          <w:tab w:val="left" w:pos="2868"/>
        </w:tabs>
        <w:spacing w:line="360" w:lineRule="auto"/>
        <w:jc w:val="both"/>
        <w:rPr>
          <w:rFonts w:ascii="David" w:hAnsi="David"/>
          <w:b/>
          <w:bCs/>
          <w:u w:val="single"/>
          <w:rtl/>
        </w:rPr>
      </w:pPr>
    </w:p>
    <w:p w:rsidR="008110BF" w:rsidRDefault="008110BF" w:rsidP="008110BF">
      <w:pPr>
        <w:pStyle w:val="ad"/>
        <w:numPr>
          <w:ilvl w:val="0"/>
          <w:numId w:val="1"/>
        </w:numPr>
        <w:spacing w:line="360" w:lineRule="auto"/>
        <w:ind w:left="714" w:hanging="357"/>
        <w:jc w:val="both"/>
        <w:rPr>
          <w:rFonts w:ascii="David" w:hAnsi="David" w:cs="David"/>
          <w:sz w:val="24"/>
          <w:szCs w:val="24"/>
        </w:rPr>
      </w:pPr>
      <w:r w:rsidRPr="00762198">
        <w:rPr>
          <w:rFonts w:ascii="David" w:hAnsi="David" w:cs="David" w:hint="cs"/>
          <w:sz w:val="24"/>
          <w:szCs w:val="24"/>
          <w:rtl/>
        </w:rPr>
        <w:t>מסגרת הדיון מצויה בהגדר</w:t>
      </w:r>
      <w:r>
        <w:rPr>
          <w:rFonts w:ascii="David" w:hAnsi="David" w:cs="David" w:hint="cs"/>
          <w:sz w:val="24"/>
          <w:szCs w:val="24"/>
          <w:rtl/>
        </w:rPr>
        <w:t>ה</w:t>
      </w:r>
      <w:r w:rsidRPr="00762198">
        <w:rPr>
          <w:rFonts w:ascii="David" w:hAnsi="David" w:cs="David" w:hint="cs"/>
          <w:sz w:val="24"/>
          <w:szCs w:val="24"/>
          <w:rtl/>
        </w:rPr>
        <w:t xml:space="preserve"> </w:t>
      </w:r>
      <w:r>
        <w:rPr>
          <w:rFonts w:ascii="David" w:hAnsi="David" w:cs="David" w:hint="cs"/>
          <w:sz w:val="24"/>
          <w:szCs w:val="24"/>
          <w:rtl/>
        </w:rPr>
        <w:t xml:space="preserve">של </w:t>
      </w:r>
      <w:r w:rsidRPr="00762198">
        <w:rPr>
          <w:rFonts w:ascii="David" w:hAnsi="David" w:cs="David" w:hint="cs"/>
          <w:sz w:val="24"/>
          <w:szCs w:val="24"/>
          <w:rtl/>
        </w:rPr>
        <w:t>המונח</w:t>
      </w:r>
      <w:r>
        <w:rPr>
          <w:rFonts w:ascii="David" w:hAnsi="David" w:cs="David" w:hint="cs"/>
          <w:sz w:val="24"/>
          <w:szCs w:val="24"/>
          <w:rtl/>
        </w:rPr>
        <w:t>ים</w:t>
      </w:r>
      <w:r w:rsidRPr="00762198">
        <w:rPr>
          <w:rFonts w:ascii="David" w:hAnsi="David" w:cs="David" w:hint="cs"/>
          <w:sz w:val="24"/>
          <w:szCs w:val="24"/>
          <w:rtl/>
        </w:rPr>
        <w:t xml:space="preserve"> </w:t>
      </w:r>
      <w:r w:rsidRPr="00762198">
        <w:rPr>
          <w:rFonts w:ascii="David" w:hAnsi="David" w:cs="David"/>
          <w:sz w:val="24"/>
          <w:szCs w:val="24"/>
          <w:rtl/>
        </w:rPr>
        <w:t>"חייל שנספה במערכה" ו"נספה"</w:t>
      </w:r>
      <w:r w:rsidRPr="00762198">
        <w:rPr>
          <w:rFonts w:ascii="David" w:hAnsi="David" w:cs="David" w:hint="cs"/>
          <w:sz w:val="24"/>
          <w:szCs w:val="24"/>
          <w:rtl/>
        </w:rPr>
        <w:t xml:space="preserve">, </w:t>
      </w:r>
      <w:r>
        <w:rPr>
          <w:rFonts w:ascii="David" w:hAnsi="David" w:cs="David" w:hint="cs"/>
          <w:sz w:val="24"/>
          <w:szCs w:val="24"/>
          <w:rtl/>
        </w:rPr>
        <w:t xml:space="preserve">אשר </w:t>
      </w:r>
      <w:r w:rsidRPr="00762198">
        <w:rPr>
          <w:rFonts w:ascii="David" w:hAnsi="David" w:cs="David" w:hint="cs"/>
          <w:sz w:val="24"/>
          <w:szCs w:val="24"/>
          <w:rtl/>
        </w:rPr>
        <w:t xml:space="preserve">מצויה בסעיף </w:t>
      </w:r>
      <w:r>
        <w:rPr>
          <w:rFonts w:ascii="David" w:hAnsi="David" w:cs="David" w:hint="cs"/>
          <w:sz w:val="24"/>
          <w:szCs w:val="24"/>
          <w:rtl/>
        </w:rPr>
        <w:t>1</w:t>
      </w:r>
      <w:r w:rsidRPr="00762198">
        <w:rPr>
          <w:rFonts w:ascii="David" w:hAnsi="David" w:cs="David" w:hint="cs"/>
          <w:sz w:val="24"/>
          <w:szCs w:val="24"/>
          <w:rtl/>
        </w:rPr>
        <w:t xml:space="preserve"> לחוק משפחות חיילים</w:t>
      </w:r>
      <w:r>
        <w:rPr>
          <w:rFonts w:ascii="David" w:hAnsi="David" w:cs="David" w:hint="cs"/>
          <w:sz w:val="24"/>
          <w:szCs w:val="24"/>
          <w:rtl/>
        </w:rPr>
        <w:t xml:space="preserve"> ואשר על בסיסה נקבעת ההכרה בבני משפחה של חיילי צה"ל</w:t>
      </w:r>
      <w:r w:rsidRPr="00762198">
        <w:rPr>
          <w:rFonts w:ascii="David" w:hAnsi="David" w:cs="David" w:hint="cs"/>
          <w:sz w:val="24"/>
          <w:szCs w:val="24"/>
          <w:rtl/>
        </w:rPr>
        <w:t>.</w:t>
      </w:r>
      <w:r>
        <w:rPr>
          <w:rFonts w:ascii="David" w:hAnsi="David" w:cs="David" w:hint="cs"/>
          <w:sz w:val="24"/>
          <w:szCs w:val="24"/>
          <w:rtl/>
        </w:rPr>
        <w:t xml:space="preserve"> הרכיב הרלוונטי לענייננו מצוי בחלק הראשון של החלופה הראשונה להגדרה, ולפיו חייל ייחשב כמי שנספה במערכה אם נפטר כתוצאה מ</w:t>
      </w:r>
      <w:r w:rsidRPr="00762198">
        <w:rPr>
          <w:rFonts w:ascii="David" w:hAnsi="David" w:cs="David" w:hint="cs"/>
          <w:sz w:val="24"/>
          <w:szCs w:val="24"/>
          <w:rtl/>
        </w:rPr>
        <w:t>"</w:t>
      </w:r>
      <w:r w:rsidRPr="00762198">
        <w:rPr>
          <w:rFonts w:ascii="David" w:hAnsi="David" w:cs="David"/>
          <w:sz w:val="24"/>
          <w:szCs w:val="24"/>
          <w:rtl/>
        </w:rPr>
        <w:t>חבלה שאירעה בתקופת שירותו ועקב</w:t>
      </w:r>
      <w:r>
        <w:rPr>
          <w:rFonts w:ascii="David" w:hAnsi="David" w:cs="David" w:hint="cs"/>
          <w:sz w:val="24"/>
          <w:szCs w:val="24"/>
          <w:rtl/>
        </w:rPr>
        <w:t xml:space="preserve"> שירותו [...]". על פי הגדרה זו נדרש קיומם של שני תנאים מצטברים, לאמור -  כי החייל נפטר כתוצאה מחבלה שאירעה הן </w:t>
      </w:r>
      <w:r w:rsidRPr="00762198">
        <w:rPr>
          <w:rFonts w:ascii="David" w:hAnsi="David" w:cs="David" w:hint="cs"/>
          <w:b/>
          <w:bCs/>
          <w:sz w:val="24"/>
          <w:szCs w:val="24"/>
          <w:rtl/>
        </w:rPr>
        <w:t>בתקופת השירות</w:t>
      </w:r>
      <w:r>
        <w:rPr>
          <w:rFonts w:ascii="David" w:hAnsi="David" w:cs="David" w:hint="cs"/>
          <w:sz w:val="24"/>
          <w:szCs w:val="24"/>
          <w:rtl/>
        </w:rPr>
        <w:t xml:space="preserve"> והן </w:t>
      </w:r>
      <w:r w:rsidRPr="00762198">
        <w:rPr>
          <w:rFonts w:ascii="David" w:hAnsi="David" w:cs="David" w:hint="cs"/>
          <w:b/>
          <w:bCs/>
          <w:sz w:val="24"/>
          <w:szCs w:val="24"/>
          <w:rtl/>
        </w:rPr>
        <w:t>עקב השירות</w:t>
      </w:r>
      <w:r>
        <w:rPr>
          <w:rFonts w:ascii="David" w:hAnsi="David" w:cs="David" w:hint="cs"/>
          <w:sz w:val="24"/>
          <w:szCs w:val="24"/>
          <w:rtl/>
        </w:rPr>
        <w:t xml:space="preserve"> (וראו גם הגדרת המונח "חבלה", המצויה אף היא בסעיף 1 לחוק משפחות חיילים).  </w:t>
      </w:r>
    </w:p>
    <w:p w:rsidR="008110BF" w:rsidRPr="00204EF5" w:rsidRDefault="008110BF" w:rsidP="008110BF">
      <w:pPr>
        <w:pStyle w:val="ad"/>
        <w:spacing w:line="360" w:lineRule="auto"/>
        <w:ind w:left="714"/>
        <w:jc w:val="both"/>
        <w:rPr>
          <w:rFonts w:ascii="David" w:hAnsi="David" w:cs="David"/>
          <w:sz w:val="24"/>
          <w:szCs w:val="24"/>
          <w:rtl/>
        </w:rPr>
      </w:pPr>
    </w:p>
    <w:p w:rsidR="008110BF" w:rsidRPr="0077561B" w:rsidRDefault="008110BF" w:rsidP="008110BF">
      <w:pPr>
        <w:pStyle w:val="ad"/>
        <w:numPr>
          <w:ilvl w:val="0"/>
          <w:numId w:val="3"/>
        </w:numPr>
        <w:spacing w:line="360" w:lineRule="auto"/>
        <w:jc w:val="both"/>
        <w:rPr>
          <w:rFonts w:ascii="David" w:hAnsi="David" w:cs="David"/>
          <w:b/>
          <w:bCs/>
          <w:sz w:val="24"/>
          <w:szCs w:val="24"/>
          <w:u w:val="single"/>
          <w:rtl/>
        </w:rPr>
      </w:pPr>
      <w:r w:rsidRPr="0077561B">
        <w:rPr>
          <w:rFonts w:ascii="David" w:hAnsi="David" w:cs="David" w:hint="cs"/>
          <w:b/>
          <w:bCs/>
          <w:sz w:val="24"/>
          <w:szCs w:val="24"/>
          <w:u w:val="single"/>
          <w:rtl/>
        </w:rPr>
        <w:t>"בתקופת השירות"</w:t>
      </w:r>
    </w:p>
    <w:p w:rsidR="008110BF" w:rsidRDefault="008110BF" w:rsidP="008110BF">
      <w:pPr>
        <w:pStyle w:val="ad"/>
        <w:spacing w:line="360" w:lineRule="auto"/>
        <w:ind w:left="714"/>
        <w:jc w:val="both"/>
        <w:rPr>
          <w:rFonts w:ascii="David" w:hAnsi="David" w:cs="David"/>
          <w:sz w:val="24"/>
          <w:szCs w:val="24"/>
          <w:rtl/>
        </w:rPr>
      </w:pPr>
    </w:p>
    <w:p w:rsidR="008110BF" w:rsidRDefault="008110BF" w:rsidP="008110BF">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בענייננו, לא ניתן לחלוק על כך שהתאונה אשר בה מצא המנוח את מותו, אירעה שעה שהמנוח נעדר מהשירות שלא ברשות משך פרק זמן של קרוב לחודשיים ימים (מיום 28.7.2013, המועד בו עזב המנוח את השירות, ועד ליום 23.9.2013, מועד התרחשות התאונה). ממילא אין מנוס אלא לקבוע, כעניין שבעובדה, כי לא מתקיים התנאי שעניינו בכך שהחייל נפטר כתוצאה מחבלה שאירעה "בתקופת השירות" (וראו את אישור הפטירה מיום 30.9.2013, אשר נחתם על ידי ראש ענף נפגעים ואשר בו צוין כי המנוח נפטר בעת שהיה עריק - עמ' 44 לסיכומי המערערים).  </w:t>
      </w:r>
    </w:p>
    <w:p w:rsidR="008110BF" w:rsidRPr="001851C4" w:rsidRDefault="008110BF" w:rsidP="008110BF">
      <w:pPr>
        <w:pStyle w:val="ad"/>
        <w:rPr>
          <w:rFonts w:ascii="David" w:hAnsi="David" w:cs="David"/>
          <w:sz w:val="24"/>
          <w:szCs w:val="24"/>
          <w:rtl/>
        </w:rPr>
      </w:pPr>
    </w:p>
    <w:p w:rsidR="008110BF" w:rsidRDefault="008110BF" w:rsidP="008110BF">
      <w:pPr>
        <w:pStyle w:val="ad"/>
        <w:spacing w:line="360" w:lineRule="auto"/>
        <w:jc w:val="both"/>
        <w:rPr>
          <w:rFonts w:ascii="David" w:hAnsi="David" w:cs="David"/>
          <w:sz w:val="24"/>
          <w:szCs w:val="24"/>
          <w:rtl/>
        </w:rPr>
      </w:pPr>
      <w:r>
        <w:rPr>
          <w:rFonts w:ascii="David" w:hAnsi="David" w:cs="David" w:hint="cs"/>
          <w:sz w:val="24"/>
          <w:szCs w:val="24"/>
          <w:rtl/>
        </w:rPr>
        <w:t xml:space="preserve">ודוק: גם אם נצא מנקודת הנחה שלפיה יש ממש בטענות המערערים בקשר לנסיבות אשר הובילו את המנוח לעזוב את השירות - לא יהיה בכך כדי לסייע להם. אכן, גם אם המנוח עזב את השירות בשל התנהגות בלתי ראויה של גורם פיקודי כזה או אחר, הרי שאין בכך כדי לשנות מן העובדה שהמנוח עזב את השירות ונעדר ממנו שלא ברשות; ובמילים אחרות - אין בכך כדי להפוך את פרק הזמן שבו המנוח נעדר מהשירות, לפרק זמן המהווה "תקופת שירות". מסקנה זו מקבלת משנה תוקף, לאור פרק הזמן הממשי - של קרוב לחודשיים ימים - אשר חלף מהמועד בו עזב המנוח את השירות ועד למועד שבו נהרג.  </w:t>
      </w:r>
    </w:p>
    <w:p w:rsidR="008110BF" w:rsidRDefault="008110BF" w:rsidP="008110BF">
      <w:pPr>
        <w:pStyle w:val="ad"/>
        <w:spacing w:line="360" w:lineRule="auto"/>
        <w:jc w:val="both"/>
        <w:rPr>
          <w:rFonts w:ascii="David" w:hAnsi="David" w:cs="David"/>
          <w:sz w:val="24"/>
          <w:szCs w:val="24"/>
          <w:rtl/>
        </w:rPr>
      </w:pPr>
    </w:p>
    <w:p w:rsidR="008110BF" w:rsidRDefault="008110BF" w:rsidP="008110BF">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הגענו אפוא למסקנה כי החבלה אשר כתוצאה ממנה נפטר המנוח לא אירעה "בתקופת שירותו". למעשה, ניתן היה לסיים את הדיון ביחס לחוק משפחות חיילים בנקודה זו. ואולם לא נעשה כן, אלא נמשיך ונדון בתנאי בנוסף שעניינו כי החבלה אירעה "עקב השירות". כפי שיפורט מיד, גם תנאי זה אינו מתקיים בענייננו.  </w:t>
      </w:r>
    </w:p>
    <w:p w:rsidR="008110BF" w:rsidRDefault="008110BF" w:rsidP="008110BF">
      <w:pPr>
        <w:pStyle w:val="ad"/>
        <w:spacing w:line="360" w:lineRule="auto"/>
        <w:jc w:val="both"/>
        <w:rPr>
          <w:rFonts w:ascii="David" w:hAnsi="David" w:cs="David"/>
          <w:sz w:val="24"/>
          <w:szCs w:val="24"/>
        </w:rPr>
      </w:pPr>
    </w:p>
    <w:p w:rsidR="008110BF" w:rsidRDefault="008110BF" w:rsidP="008110BF">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למען שלמות התמונה נוסיף ונציין, כי לאור מסקנתנו שלפיה החבלה שגרמה לפטירת המנוח לא אירעה </w:t>
      </w:r>
      <w:r w:rsidRPr="000E31D6">
        <w:rPr>
          <w:rFonts w:ascii="David" w:hAnsi="David" w:cs="David" w:hint="cs"/>
          <w:sz w:val="24"/>
          <w:szCs w:val="24"/>
          <w:rtl/>
        </w:rPr>
        <w:t>בתקופת השירות,</w:t>
      </w:r>
      <w:r>
        <w:rPr>
          <w:rFonts w:ascii="David" w:hAnsi="David" w:cs="David" w:hint="cs"/>
          <w:sz w:val="24"/>
          <w:szCs w:val="24"/>
          <w:rtl/>
        </w:rPr>
        <w:t xml:space="preserve"> הרי שממילא לא חלה החזקה הקבועה בסעיף 2ב(א) לחוק משפחות חיילים (הכוונה היא לחזקה שלפיה </w:t>
      </w:r>
      <w:r w:rsidRPr="000E31D6">
        <w:rPr>
          <w:rFonts w:ascii="David" w:hAnsi="David" w:cs="David"/>
          <w:sz w:val="24"/>
          <w:szCs w:val="24"/>
          <w:rtl/>
        </w:rPr>
        <w:t xml:space="preserve">חייל </w:t>
      </w:r>
      <w:r>
        <w:rPr>
          <w:rFonts w:ascii="David" w:hAnsi="David" w:cs="David" w:hint="cs"/>
          <w:sz w:val="24"/>
          <w:szCs w:val="24"/>
          <w:rtl/>
        </w:rPr>
        <w:t>א</w:t>
      </w:r>
      <w:r w:rsidRPr="000E31D6">
        <w:rPr>
          <w:rFonts w:ascii="David" w:hAnsi="David" w:cs="David"/>
          <w:sz w:val="24"/>
          <w:szCs w:val="24"/>
          <w:rtl/>
        </w:rPr>
        <w:t>ש</w:t>
      </w:r>
      <w:r>
        <w:rPr>
          <w:rFonts w:ascii="David" w:hAnsi="David" w:cs="David" w:hint="cs"/>
          <w:sz w:val="24"/>
          <w:szCs w:val="24"/>
          <w:rtl/>
        </w:rPr>
        <w:t xml:space="preserve">ר </w:t>
      </w:r>
      <w:r w:rsidRPr="000E31D6">
        <w:rPr>
          <w:rFonts w:ascii="David" w:hAnsi="David" w:cs="David" w:hint="cs"/>
          <w:sz w:val="24"/>
          <w:szCs w:val="24"/>
          <w:rtl/>
        </w:rPr>
        <w:t>נפטר</w:t>
      </w:r>
      <w:r w:rsidRPr="000E31D6">
        <w:rPr>
          <w:rFonts w:ascii="David" w:hAnsi="David" w:cs="David"/>
          <w:sz w:val="24"/>
          <w:szCs w:val="24"/>
          <w:rtl/>
        </w:rPr>
        <w:t xml:space="preserve"> כתוצאה מחבלה שאירעה </w:t>
      </w:r>
      <w:r w:rsidRPr="000E31D6">
        <w:rPr>
          <w:rFonts w:ascii="David" w:hAnsi="David" w:cs="David"/>
          <w:b/>
          <w:bCs/>
          <w:sz w:val="24"/>
          <w:szCs w:val="24"/>
          <w:rtl/>
        </w:rPr>
        <w:t xml:space="preserve">בתקופת </w:t>
      </w:r>
      <w:r>
        <w:rPr>
          <w:rFonts w:ascii="David" w:hAnsi="David" w:cs="David" w:hint="cs"/>
          <w:b/>
          <w:bCs/>
          <w:sz w:val="24"/>
          <w:szCs w:val="24"/>
          <w:rtl/>
        </w:rPr>
        <w:t>ה</w:t>
      </w:r>
      <w:r w:rsidRPr="000E31D6">
        <w:rPr>
          <w:rFonts w:ascii="David" w:hAnsi="David" w:cs="David"/>
          <w:b/>
          <w:bCs/>
          <w:sz w:val="24"/>
          <w:szCs w:val="24"/>
          <w:rtl/>
        </w:rPr>
        <w:t>שירות</w:t>
      </w:r>
      <w:r w:rsidRPr="000E31D6">
        <w:rPr>
          <w:rFonts w:ascii="David" w:hAnsi="David" w:cs="David"/>
          <w:sz w:val="24"/>
          <w:szCs w:val="24"/>
          <w:rtl/>
        </w:rPr>
        <w:t>, רואים אותו כמי ש</w:t>
      </w:r>
      <w:r w:rsidRPr="000E31D6">
        <w:rPr>
          <w:rFonts w:ascii="David" w:hAnsi="David" w:cs="David" w:hint="cs"/>
          <w:sz w:val="24"/>
          <w:szCs w:val="24"/>
          <w:rtl/>
        </w:rPr>
        <w:t>נפטר</w:t>
      </w:r>
      <w:r w:rsidRPr="000E31D6">
        <w:rPr>
          <w:rFonts w:ascii="David" w:hAnsi="David" w:cs="David"/>
          <w:sz w:val="24"/>
          <w:szCs w:val="24"/>
          <w:rtl/>
        </w:rPr>
        <w:t xml:space="preserve"> </w:t>
      </w:r>
      <w:r w:rsidRPr="000E31D6">
        <w:rPr>
          <w:rFonts w:ascii="David" w:hAnsi="David" w:cs="David"/>
          <w:b/>
          <w:bCs/>
          <w:sz w:val="24"/>
          <w:szCs w:val="24"/>
          <w:rtl/>
        </w:rPr>
        <w:t xml:space="preserve">עקב </w:t>
      </w:r>
      <w:r>
        <w:rPr>
          <w:rFonts w:ascii="David" w:hAnsi="David" w:cs="David" w:hint="cs"/>
          <w:b/>
          <w:bCs/>
          <w:sz w:val="24"/>
          <w:szCs w:val="24"/>
          <w:rtl/>
        </w:rPr>
        <w:t>ה</w:t>
      </w:r>
      <w:r w:rsidRPr="000E31D6">
        <w:rPr>
          <w:rFonts w:ascii="David" w:hAnsi="David" w:cs="David"/>
          <w:b/>
          <w:bCs/>
          <w:sz w:val="24"/>
          <w:szCs w:val="24"/>
          <w:rtl/>
        </w:rPr>
        <w:t>שירות</w:t>
      </w:r>
      <w:r w:rsidRPr="000E31D6">
        <w:rPr>
          <w:rFonts w:ascii="David" w:hAnsi="David" w:cs="David"/>
          <w:sz w:val="24"/>
          <w:szCs w:val="24"/>
          <w:rtl/>
        </w:rPr>
        <w:t xml:space="preserve">, </w:t>
      </w:r>
      <w:r w:rsidRPr="000E31D6">
        <w:rPr>
          <w:rFonts w:ascii="David" w:hAnsi="David" w:cs="David" w:hint="cs"/>
          <w:sz w:val="24"/>
          <w:szCs w:val="24"/>
          <w:rtl/>
        </w:rPr>
        <w:t>אלא אם הוכח היפוכו של דבר).</w:t>
      </w:r>
      <w:r>
        <w:rPr>
          <w:rFonts w:ascii="David" w:hAnsi="David" w:cs="David" w:hint="cs"/>
          <w:sz w:val="24"/>
          <w:szCs w:val="24"/>
          <w:rtl/>
        </w:rPr>
        <w:t xml:space="preserve"> כך או כך, אפילו היינו אומרים שהחזקה חלה בענייננו </w:t>
      </w:r>
      <w:r>
        <w:rPr>
          <w:rFonts w:ascii="David" w:hAnsi="David" w:cs="David"/>
          <w:sz w:val="24"/>
          <w:szCs w:val="24"/>
          <w:rtl/>
        </w:rPr>
        <w:t>–</w:t>
      </w:r>
      <w:r>
        <w:rPr>
          <w:rFonts w:ascii="David" w:hAnsi="David" w:cs="David" w:hint="cs"/>
          <w:sz w:val="24"/>
          <w:szCs w:val="24"/>
          <w:rtl/>
        </w:rPr>
        <w:t xml:space="preserve"> הרי שעל רקע הדברים שיפורטו מיד, היה מקום לקבוע כי החזקה נסתרה.   </w:t>
      </w:r>
    </w:p>
    <w:p w:rsidR="008110BF" w:rsidRDefault="008110BF" w:rsidP="008110BF">
      <w:pPr>
        <w:pStyle w:val="ad"/>
        <w:spacing w:line="360" w:lineRule="auto"/>
        <w:ind w:left="714"/>
        <w:jc w:val="both"/>
        <w:rPr>
          <w:rFonts w:ascii="David" w:hAnsi="David" w:cs="David"/>
          <w:sz w:val="24"/>
          <w:szCs w:val="24"/>
          <w:rtl/>
        </w:rPr>
      </w:pPr>
    </w:p>
    <w:p w:rsidR="008110BF" w:rsidRDefault="008110BF" w:rsidP="008110BF">
      <w:pPr>
        <w:pStyle w:val="ad"/>
        <w:numPr>
          <w:ilvl w:val="0"/>
          <w:numId w:val="3"/>
        </w:numPr>
        <w:spacing w:line="360" w:lineRule="auto"/>
        <w:jc w:val="both"/>
        <w:rPr>
          <w:rFonts w:ascii="David" w:hAnsi="David" w:cs="David"/>
          <w:b/>
          <w:bCs/>
          <w:sz w:val="24"/>
          <w:szCs w:val="24"/>
          <w:u w:val="single"/>
        </w:rPr>
      </w:pPr>
      <w:r w:rsidRPr="0077561B">
        <w:rPr>
          <w:rFonts w:ascii="David" w:hAnsi="David" w:cs="David" w:hint="cs"/>
          <w:b/>
          <w:bCs/>
          <w:sz w:val="24"/>
          <w:szCs w:val="24"/>
          <w:u w:val="single"/>
          <w:rtl/>
        </w:rPr>
        <w:t>"עקב השירות"</w:t>
      </w:r>
    </w:p>
    <w:p w:rsidR="008110BF" w:rsidRDefault="008110BF" w:rsidP="008110BF">
      <w:pPr>
        <w:pStyle w:val="ad"/>
        <w:spacing w:line="360" w:lineRule="auto"/>
        <w:jc w:val="both"/>
        <w:rPr>
          <w:rFonts w:ascii="David" w:hAnsi="David" w:cs="David"/>
          <w:b/>
          <w:bCs/>
          <w:sz w:val="24"/>
          <w:szCs w:val="24"/>
          <w:u w:val="single"/>
          <w:rtl/>
        </w:rPr>
      </w:pPr>
    </w:p>
    <w:p w:rsidR="008110BF" w:rsidRDefault="008110BF" w:rsidP="008110BF">
      <w:pPr>
        <w:pStyle w:val="ad"/>
        <w:numPr>
          <w:ilvl w:val="0"/>
          <w:numId w:val="1"/>
        </w:numPr>
        <w:spacing w:line="360" w:lineRule="auto"/>
        <w:jc w:val="both"/>
        <w:rPr>
          <w:rFonts w:ascii="David" w:hAnsi="David" w:cs="David"/>
          <w:b/>
          <w:bCs/>
          <w:sz w:val="24"/>
          <w:szCs w:val="24"/>
          <w:u w:val="single"/>
          <w:rtl/>
        </w:rPr>
      </w:pPr>
      <w:r>
        <w:rPr>
          <w:rFonts w:ascii="David" w:hAnsi="David" w:cs="David" w:hint="cs"/>
          <w:sz w:val="24"/>
          <w:szCs w:val="24"/>
          <w:rtl/>
        </w:rPr>
        <w:t>נוכח הטענות אשר הועלו על ידי המערערים, מצאתי לחזור ולהזכיר מושכלות יסוד באשר לאופן שבו נקבע קיומו של קשר סיבתי:</w:t>
      </w:r>
      <w:r>
        <w:rPr>
          <w:rFonts w:ascii="David" w:hAnsi="David" w:cs="David" w:hint="cs"/>
          <w:b/>
          <w:bCs/>
          <w:sz w:val="24"/>
          <w:szCs w:val="24"/>
          <w:u w:val="single"/>
          <w:rtl/>
        </w:rPr>
        <w:t xml:space="preserve"> </w:t>
      </w:r>
    </w:p>
    <w:p w:rsidR="008110BF" w:rsidRDefault="008110BF" w:rsidP="008110BF">
      <w:pPr>
        <w:pStyle w:val="ad"/>
        <w:spacing w:line="360" w:lineRule="auto"/>
        <w:jc w:val="both"/>
        <w:rPr>
          <w:rFonts w:ascii="David" w:hAnsi="David" w:cs="David"/>
          <w:b/>
          <w:bCs/>
          <w:sz w:val="24"/>
          <w:szCs w:val="24"/>
          <w:u w:val="single"/>
        </w:rPr>
      </w:pPr>
    </w:p>
    <w:p w:rsidR="008110BF" w:rsidRDefault="008110BF" w:rsidP="008110BF">
      <w:pPr>
        <w:pStyle w:val="ad"/>
        <w:spacing w:line="240" w:lineRule="auto"/>
        <w:ind w:left="1361" w:right="1134"/>
        <w:jc w:val="both"/>
        <w:rPr>
          <w:rFonts w:ascii="David" w:hAnsi="David" w:cs="David"/>
          <w:i/>
          <w:iCs/>
          <w:sz w:val="24"/>
          <w:szCs w:val="24"/>
          <w:rtl/>
        </w:rPr>
      </w:pPr>
      <w:r>
        <w:rPr>
          <w:rFonts w:ascii="David" w:hAnsi="David" w:cs="David" w:hint="cs"/>
          <w:i/>
          <w:iCs/>
          <w:sz w:val="24"/>
          <w:szCs w:val="24"/>
          <w:rtl/>
        </w:rPr>
        <w:t>"</w:t>
      </w:r>
      <w:r w:rsidRPr="00EC5E84">
        <w:rPr>
          <w:rFonts w:ascii="David" w:hAnsi="David" w:cs="David"/>
          <w:i/>
          <w:iCs/>
          <w:sz w:val="24"/>
          <w:szCs w:val="24"/>
          <w:rtl/>
        </w:rPr>
        <w:t>מכבר ידענו כי שאלת קיומו של קשר סיבתי במשפט תיחתך בשני שלבים עוקבים. בראש ובראשונה נבחן אם נתקיים קשר סיבתי</w:t>
      </w:r>
      <w:r w:rsidRPr="00EC5E84">
        <w:rPr>
          <w:rFonts w:ascii="David" w:hAnsi="David" w:cs="David"/>
          <w:i/>
          <w:iCs/>
          <w:sz w:val="24"/>
          <w:szCs w:val="24"/>
        </w:rPr>
        <w:t>-</w:t>
      </w:r>
      <w:r w:rsidRPr="00EC5E84">
        <w:rPr>
          <w:rFonts w:ascii="David" w:hAnsi="David" w:cs="David"/>
          <w:i/>
          <w:iCs/>
          <w:sz w:val="24"/>
          <w:szCs w:val="24"/>
          <w:rtl/>
        </w:rPr>
        <w:t>עובדתי בין אירוע פלוני לבין תוצאה פלונית. אם האירוע היה גורם או מן הגורמים לתוצאה</w:t>
      </w:r>
      <w:r w:rsidRPr="00EC5E84">
        <w:rPr>
          <w:rFonts w:ascii="David" w:hAnsi="David" w:cs="David"/>
          <w:i/>
          <w:iCs/>
          <w:sz w:val="24"/>
          <w:szCs w:val="24"/>
        </w:rPr>
        <w:t xml:space="preserve"> </w:t>
      </w:r>
      <w:r>
        <w:rPr>
          <w:rFonts w:ascii="David" w:hAnsi="David" w:cs="David"/>
          <w:i/>
          <w:iCs/>
          <w:sz w:val="24"/>
          <w:szCs w:val="24"/>
        </w:rPr>
        <w:t>.</w:t>
      </w:r>
      <w:r w:rsidRPr="00EC5E84">
        <w:rPr>
          <w:rFonts w:ascii="David" w:hAnsi="David" w:cs="David"/>
          <w:i/>
          <w:iCs/>
          <w:sz w:val="24"/>
          <w:szCs w:val="24"/>
        </w:rPr>
        <w:t>(causa sine qua non</w:t>
      </w:r>
      <w:r>
        <w:rPr>
          <w:rFonts w:ascii="David" w:hAnsi="David" w:cs="David"/>
          <w:i/>
          <w:iCs/>
          <w:sz w:val="24"/>
          <w:szCs w:val="24"/>
        </w:rPr>
        <w:t xml:space="preserve">) </w:t>
      </w:r>
      <w:r w:rsidRPr="00EC5E84">
        <w:rPr>
          <w:rFonts w:ascii="David" w:hAnsi="David" w:cs="David"/>
          <w:i/>
          <w:iCs/>
          <w:sz w:val="24"/>
          <w:szCs w:val="24"/>
          <w:rtl/>
        </w:rPr>
        <w:t>משנמצא לנו כי יש קשר סיבתי</w:t>
      </w:r>
      <w:r w:rsidRPr="00EC5E84">
        <w:rPr>
          <w:rFonts w:ascii="David" w:hAnsi="David" w:cs="David"/>
          <w:i/>
          <w:iCs/>
          <w:sz w:val="24"/>
          <w:szCs w:val="24"/>
        </w:rPr>
        <w:t>-</w:t>
      </w:r>
      <w:r w:rsidRPr="00EC5E84">
        <w:rPr>
          <w:rFonts w:ascii="David" w:hAnsi="David" w:cs="David"/>
          <w:i/>
          <w:iCs/>
          <w:sz w:val="24"/>
          <w:szCs w:val="24"/>
          <w:rtl/>
        </w:rPr>
        <w:t>עובדתי בין אירוע פלוני לבין תוצאה פלונית, באים אנו אל השלב השני, והוא לבחינת הקשר הסיבתי</w:t>
      </w:r>
      <w:r w:rsidRPr="00EC5E84">
        <w:rPr>
          <w:rFonts w:ascii="David" w:hAnsi="David" w:cs="David"/>
          <w:i/>
          <w:iCs/>
          <w:sz w:val="24"/>
          <w:szCs w:val="24"/>
        </w:rPr>
        <w:t>-</w:t>
      </w:r>
      <w:r w:rsidRPr="00EC5E84">
        <w:rPr>
          <w:rFonts w:ascii="David" w:hAnsi="David" w:cs="David"/>
          <w:i/>
          <w:iCs/>
          <w:sz w:val="24"/>
          <w:szCs w:val="24"/>
          <w:rtl/>
        </w:rPr>
        <w:t>המשפטי. פירוש: מחילים אנו על הקשר הסיבתי</w:t>
      </w:r>
      <w:r w:rsidRPr="00EC5E84">
        <w:rPr>
          <w:rFonts w:ascii="David" w:hAnsi="David" w:cs="David"/>
          <w:i/>
          <w:iCs/>
          <w:sz w:val="24"/>
          <w:szCs w:val="24"/>
        </w:rPr>
        <w:t>-</w:t>
      </w:r>
      <w:r w:rsidRPr="00EC5E84">
        <w:rPr>
          <w:rFonts w:ascii="David" w:hAnsi="David" w:cs="David"/>
          <w:i/>
          <w:iCs/>
          <w:sz w:val="24"/>
          <w:szCs w:val="24"/>
          <w:rtl/>
        </w:rPr>
        <w:t>העובדתי מבחני</w:t>
      </w:r>
      <w:r w:rsidRPr="00EC5E84">
        <w:rPr>
          <w:rFonts w:ascii="David" w:hAnsi="David" w:cs="David"/>
          <w:i/>
          <w:iCs/>
          <w:sz w:val="24"/>
          <w:szCs w:val="24"/>
        </w:rPr>
        <w:t>-</w:t>
      </w:r>
      <w:r w:rsidRPr="00EC5E84">
        <w:rPr>
          <w:rFonts w:ascii="David" w:hAnsi="David" w:cs="David"/>
          <w:i/>
          <w:iCs/>
          <w:sz w:val="24"/>
          <w:szCs w:val="24"/>
          <w:rtl/>
        </w:rPr>
        <w:t>משפט הנועדים לסנן ולברור מבין הגורמים העובדתיים השונים אותם גורמים הנושאים עמהם – שמא נאמר: גורמים שנמצאו ראויים כי יישאו עמהם – אחריות משפטית. ראו והשוו</w:t>
      </w:r>
      <w:r>
        <w:rPr>
          <w:rFonts w:ascii="David" w:hAnsi="David" w:cs="David"/>
          <w:i/>
          <w:iCs/>
          <w:sz w:val="24"/>
          <w:szCs w:val="24"/>
        </w:rPr>
        <w:t xml:space="preserve"> </w:t>
      </w:r>
      <w:r w:rsidRPr="00EC5E84">
        <w:rPr>
          <w:rFonts w:ascii="David" w:hAnsi="David" w:cs="David"/>
          <w:i/>
          <w:iCs/>
          <w:sz w:val="24"/>
          <w:szCs w:val="24"/>
        </w:rPr>
        <w:t>:</w:t>
      </w:r>
      <w:hyperlink r:id="rId11" w:history="1">
        <w:r w:rsidRPr="00EC5E84">
          <w:rPr>
            <w:rFonts w:ascii="David" w:hAnsi="David" w:cs="David"/>
            <w:i/>
            <w:iCs/>
            <w:sz w:val="24"/>
            <w:szCs w:val="24"/>
            <w:rtl/>
          </w:rPr>
          <w:t>ע"א 145/80</w:t>
        </w:r>
      </w:hyperlink>
      <w:r w:rsidRPr="00EC5E84">
        <w:rPr>
          <w:rFonts w:ascii="David" w:hAnsi="David" w:cs="David"/>
          <w:i/>
          <w:iCs/>
          <w:sz w:val="24"/>
          <w:szCs w:val="24"/>
        </w:rPr>
        <w:t> </w:t>
      </w:r>
      <w:r w:rsidRPr="00EC5E84">
        <w:rPr>
          <w:rFonts w:ascii="Miriam" w:hAnsi="Miriam" w:cs="Miriam"/>
          <w:i/>
          <w:iCs/>
          <w:sz w:val="24"/>
          <w:szCs w:val="24"/>
          <w:rtl/>
        </w:rPr>
        <w:t>ועקנין נ' המועצה המקומית</w:t>
      </w:r>
      <w:r>
        <w:rPr>
          <w:rFonts w:ascii="David" w:hAnsi="David" w:cs="David" w:hint="cs"/>
          <w:i/>
          <w:iCs/>
          <w:sz w:val="24"/>
          <w:szCs w:val="24"/>
          <w:rtl/>
        </w:rPr>
        <w:t>,</w:t>
      </w:r>
      <w:r w:rsidRPr="00EC5E84">
        <w:rPr>
          <w:rFonts w:ascii="David" w:hAnsi="David" w:cs="David"/>
          <w:i/>
          <w:iCs/>
          <w:sz w:val="24"/>
          <w:szCs w:val="24"/>
          <w:rtl/>
        </w:rPr>
        <w:t xml:space="preserve"> בית שמש</w:t>
      </w:r>
      <w:r w:rsidRPr="00EC5E84">
        <w:rPr>
          <w:rFonts w:ascii="David" w:hAnsi="David" w:cs="David"/>
          <w:i/>
          <w:iCs/>
          <w:sz w:val="24"/>
          <w:szCs w:val="24"/>
        </w:rPr>
        <w:t xml:space="preserve"> </w:t>
      </w:r>
      <w:r>
        <w:rPr>
          <w:rFonts w:ascii="David" w:hAnsi="David" w:cs="David"/>
          <w:i/>
          <w:iCs/>
          <w:sz w:val="24"/>
          <w:szCs w:val="24"/>
        </w:rPr>
        <w:t>;</w:t>
      </w:r>
      <w:r w:rsidRPr="00EC5E84">
        <w:rPr>
          <w:rFonts w:ascii="David" w:hAnsi="David" w:cs="David"/>
          <w:i/>
          <w:iCs/>
          <w:sz w:val="24"/>
          <w:szCs w:val="24"/>
        </w:rPr>
        <w:t>[6]</w:t>
      </w:r>
      <w:r>
        <w:rPr>
          <w:rFonts w:ascii="David" w:hAnsi="David" w:cs="David"/>
          <w:i/>
          <w:iCs/>
          <w:sz w:val="24"/>
          <w:szCs w:val="24"/>
        </w:rPr>
        <w:t xml:space="preserve"> </w:t>
      </w:r>
      <w:hyperlink r:id="rId12" w:history="1">
        <w:r w:rsidRPr="00EC5E84">
          <w:rPr>
            <w:rFonts w:ascii="David" w:hAnsi="David" w:cs="David"/>
            <w:i/>
            <w:iCs/>
            <w:sz w:val="24"/>
            <w:szCs w:val="24"/>
            <w:rtl/>
          </w:rPr>
          <w:t>ע"א 358/83</w:t>
        </w:r>
      </w:hyperlink>
      <w:r w:rsidRPr="00EC5E84">
        <w:rPr>
          <w:rFonts w:ascii="David" w:hAnsi="David" w:cs="David"/>
          <w:i/>
          <w:iCs/>
          <w:sz w:val="24"/>
          <w:szCs w:val="24"/>
        </w:rPr>
        <w:t> </w:t>
      </w:r>
      <w:r w:rsidRPr="00EC5E84">
        <w:rPr>
          <w:rFonts w:ascii="Miriam" w:hAnsi="Miriam" w:cs="Miriam"/>
          <w:i/>
          <w:iCs/>
          <w:sz w:val="24"/>
          <w:szCs w:val="24"/>
          <w:rtl/>
        </w:rPr>
        <w:t>שולמן נ' ציון חברה לבטוח בע"מ</w:t>
      </w:r>
      <w:r>
        <w:rPr>
          <w:rFonts w:ascii="David" w:hAnsi="David" w:cs="David" w:hint="cs"/>
          <w:i/>
          <w:iCs/>
          <w:sz w:val="24"/>
          <w:szCs w:val="24"/>
          <w:rtl/>
        </w:rPr>
        <w:t xml:space="preserve"> (</w:t>
      </w:r>
      <w:r w:rsidRPr="00EC5E84">
        <w:rPr>
          <w:rFonts w:ascii="David" w:hAnsi="David" w:cs="David"/>
          <w:i/>
          <w:iCs/>
          <w:sz w:val="24"/>
          <w:szCs w:val="24"/>
          <w:rtl/>
        </w:rPr>
        <w:t>פרשת שולמן</w:t>
      </w:r>
      <w:r>
        <w:rPr>
          <w:rFonts w:ascii="David" w:hAnsi="David" w:cs="David" w:hint="cs"/>
          <w:i/>
          <w:iCs/>
          <w:sz w:val="24"/>
          <w:szCs w:val="24"/>
          <w:rtl/>
        </w:rPr>
        <w:t xml:space="preserve"> </w:t>
      </w:r>
      <w:r>
        <w:rPr>
          <w:rFonts w:ascii="David" w:hAnsi="David" w:cs="David"/>
          <w:i/>
          <w:iCs/>
          <w:sz w:val="24"/>
          <w:szCs w:val="24"/>
        </w:rPr>
        <w:t>(</w:t>
      </w:r>
      <w:r w:rsidRPr="00EC5E84">
        <w:rPr>
          <w:rFonts w:ascii="David" w:hAnsi="David" w:cs="David"/>
          <w:i/>
          <w:iCs/>
          <w:sz w:val="24"/>
          <w:szCs w:val="24"/>
        </w:rPr>
        <w:t>[7</w:t>
      </w:r>
      <w:r>
        <w:rPr>
          <w:rFonts w:ascii="David" w:hAnsi="David" w:cs="David"/>
          <w:i/>
          <w:iCs/>
          <w:sz w:val="24"/>
          <w:szCs w:val="24"/>
        </w:rPr>
        <w:t>]</w:t>
      </w:r>
      <w:r>
        <w:rPr>
          <w:rFonts w:ascii="David" w:hAnsi="David" w:cs="David" w:hint="cs"/>
          <w:i/>
          <w:iCs/>
          <w:sz w:val="24"/>
          <w:szCs w:val="24"/>
          <w:rtl/>
        </w:rPr>
        <w:t xml:space="preserve">, </w:t>
      </w:r>
      <w:r w:rsidRPr="00EC5E84">
        <w:rPr>
          <w:rFonts w:ascii="David" w:hAnsi="David" w:cs="David"/>
          <w:i/>
          <w:iCs/>
          <w:sz w:val="24"/>
          <w:szCs w:val="24"/>
          <w:rtl/>
        </w:rPr>
        <w:t>בעמ' 866-862 </w:t>
      </w:r>
      <w:r>
        <w:rPr>
          <w:rFonts w:ascii="David" w:hAnsi="David" w:cs="David" w:hint="cs"/>
          <w:i/>
          <w:iCs/>
          <w:sz w:val="24"/>
          <w:szCs w:val="24"/>
          <w:rtl/>
        </w:rPr>
        <w:t>(</w:t>
      </w:r>
      <w:r w:rsidRPr="00EC5E84">
        <w:rPr>
          <w:rFonts w:ascii="David" w:hAnsi="David" w:cs="David"/>
          <w:i/>
          <w:iCs/>
          <w:sz w:val="24"/>
          <w:szCs w:val="24"/>
          <w:rtl/>
        </w:rPr>
        <w:t>שניהם מפי השופט ברק</w:t>
      </w:r>
      <w:r>
        <w:rPr>
          <w:rFonts w:ascii="David" w:hAnsi="David" w:cs="David" w:hint="cs"/>
          <w:i/>
          <w:iCs/>
          <w:sz w:val="24"/>
          <w:szCs w:val="24"/>
          <w:rtl/>
        </w:rPr>
        <w:t xml:space="preserve">). </w:t>
      </w:r>
      <w:r w:rsidRPr="00EC5E84">
        <w:rPr>
          <w:rFonts w:ascii="David" w:hAnsi="David" w:cs="David"/>
          <w:i/>
          <w:iCs/>
          <w:sz w:val="24"/>
          <w:szCs w:val="24"/>
          <w:rtl/>
        </w:rPr>
        <w:t>ומה ההבדל בין קשר סיבתי</w:t>
      </w:r>
      <w:r w:rsidRPr="00EC5E84">
        <w:rPr>
          <w:rFonts w:ascii="David" w:hAnsi="David" w:cs="David"/>
          <w:i/>
          <w:iCs/>
          <w:sz w:val="24"/>
          <w:szCs w:val="24"/>
        </w:rPr>
        <w:t>-</w:t>
      </w:r>
      <w:r w:rsidRPr="00EC5E84">
        <w:rPr>
          <w:rFonts w:ascii="David" w:hAnsi="David" w:cs="David"/>
          <w:i/>
          <w:iCs/>
          <w:sz w:val="24"/>
          <w:szCs w:val="24"/>
          <w:rtl/>
        </w:rPr>
        <w:t>עובדתי לבין קשר סיבתי</w:t>
      </w:r>
      <w:r w:rsidRPr="00EC5E84">
        <w:rPr>
          <w:rFonts w:ascii="David" w:hAnsi="David" w:cs="David"/>
          <w:i/>
          <w:iCs/>
          <w:sz w:val="24"/>
          <w:szCs w:val="24"/>
        </w:rPr>
        <w:t>-</w:t>
      </w:r>
      <w:r w:rsidRPr="00EC5E84">
        <w:rPr>
          <w:rFonts w:ascii="David" w:hAnsi="David" w:cs="David"/>
          <w:i/>
          <w:iCs/>
          <w:sz w:val="24"/>
          <w:szCs w:val="24"/>
          <w:rtl/>
        </w:rPr>
        <w:t>משפטי? אף אתה אמור: בעוד אשר קשר סיבתי</w:t>
      </w:r>
      <w:r w:rsidRPr="00EC5E84">
        <w:rPr>
          <w:rFonts w:ascii="David" w:hAnsi="David" w:cs="David"/>
          <w:i/>
          <w:iCs/>
          <w:sz w:val="24"/>
          <w:szCs w:val="24"/>
        </w:rPr>
        <w:t>-</w:t>
      </w:r>
      <w:r w:rsidRPr="00EC5E84">
        <w:rPr>
          <w:rFonts w:ascii="David" w:hAnsi="David" w:cs="David"/>
          <w:i/>
          <w:iCs/>
          <w:sz w:val="24"/>
          <w:szCs w:val="24"/>
          <w:rtl/>
        </w:rPr>
        <w:t>עובדתי מבקש ליתן ביטוי לקשר סיבתי פיזי</w:t>
      </w:r>
      <w:r w:rsidRPr="00EC5E84">
        <w:rPr>
          <w:rFonts w:ascii="David" w:hAnsi="David" w:cs="David"/>
          <w:i/>
          <w:iCs/>
          <w:sz w:val="24"/>
          <w:szCs w:val="24"/>
        </w:rPr>
        <w:t>-</w:t>
      </w:r>
      <w:r w:rsidRPr="00EC5E84">
        <w:rPr>
          <w:rFonts w:ascii="David" w:hAnsi="David" w:cs="David"/>
          <w:i/>
          <w:iCs/>
          <w:sz w:val="24"/>
          <w:szCs w:val="24"/>
          <w:rtl/>
        </w:rPr>
        <w:t>אובייקטיבי ברצף של אירועים, קשר סיבתי</w:t>
      </w:r>
      <w:r w:rsidRPr="00EC5E84">
        <w:rPr>
          <w:rFonts w:ascii="David" w:hAnsi="David" w:cs="David"/>
          <w:i/>
          <w:iCs/>
          <w:sz w:val="24"/>
          <w:szCs w:val="24"/>
        </w:rPr>
        <w:t>-</w:t>
      </w:r>
      <w:r w:rsidRPr="00EC5E84">
        <w:rPr>
          <w:rFonts w:ascii="David" w:hAnsi="David" w:cs="David"/>
          <w:i/>
          <w:iCs/>
          <w:sz w:val="24"/>
          <w:szCs w:val="24"/>
          <w:rtl/>
        </w:rPr>
        <w:t>משפטי אמור ליתן ביטוי להכרעה משפטית ערכית בהטלתה של אחריות משפטית</w:t>
      </w:r>
      <w:r>
        <w:rPr>
          <w:rFonts w:ascii="David" w:hAnsi="David" w:cs="David" w:hint="cs"/>
          <w:i/>
          <w:iCs/>
          <w:sz w:val="24"/>
          <w:szCs w:val="24"/>
          <w:rtl/>
        </w:rPr>
        <w:t xml:space="preserve">" </w:t>
      </w:r>
    </w:p>
    <w:p w:rsidR="008110BF" w:rsidRDefault="008110BF" w:rsidP="008110BF">
      <w:pPr>
        <w:pStyle w:val="ad"/>
        <w:spacing w:line="240" w:lineRule="auto"/>
        <w:ind w:left="1361" w:right="1134"/>
        <w:jc w:val="both"/>
        <w:rPr>
          <w:rFonts w:ascii="David" w:hAnsi="David" w:cs="David"/>
          <w:i/>
          <w:iCs/>
          <w:sz w:val="24"/>
          <w:szCs w:val="24"/>
          <w:rtl/>
        </w:rPr>
      </w:pPr>
      <w:r w:rsidRPr="007D7F02">
        <w:rPr>
          <w:rFonts w:ascii="David" w:hAnsi="David" w:cs="David"/>
          <w:sz w:val="24"/>
          <w:szCs w:val="24"/>
          <w:rtl/>
        </w:rPr>
        <w:t>(</w:t>
      </w:r>
      <w:r w:rsidRPr="007D7F02">
        <w:rPr>
          <w:rFonts w:ascii="David" w:hAnsi="David" w:cs="David"/>
          <w:color w:val="000000"/>
          <w:sz w:val="24"/>
          <w:szCs w:val="24"/>
          <w:rtl/>
        </w:rPr>
        <w:t xml:space="preserve">דנ"א 5343/00‏ </w:t>
      </w:r>
      <w:r w:rsidRPr="007D7F02">
        <w:rPr>
          <w:rFonts w:ascii="David" w:hAnsi="David" w:cs="David"/>
          <w:b/>
          <w:bCs/>
          <w:color w:val="000000"/>
          <w:sz w:val="24"/>
          <w:szCs w:val="24"/>
          <w:rtl/>
        </w:rPr>
        <w:t>קצין התגמולים נ' אביאן</w:t>
      </w:r>
      <w:r w:rsidRPr="007D7F02">
        <w:rPr>
          <w:rFonts w:ascii="David" w:hAnsi="David" w:cs="David"/>
          <w:color w:val="000000"/>
          <w:sz w:val="24"/>
          <w:szCs w:val="24"/>
          <w:rtl/>
        </w:rPr>
        <w:t>, פ''ד נו(5) 732</w:t>
      </w:r>
      <w:r>
        <w:rPr>
          <w:rFonts w:ascii="David" w:hAnsi="David" w:cs="David" w:hint="cs"/>
          <w:color w:val="000000"/>
          <w:sz w:val="24"/>
          <w:szCs w:val="24"/>
          <w:rtl/>
        </w:rPr>
        <w:t xml:space="preserve"> (2002) (להלן: פרשת </w:t>
      </w:r>
      <w:r w:rsidRPr="007D7F02">
        <w:rPr>
          <w:rFonts w:ascii="David" w:hAnsi="David" w:cs="David" w:hint="cs"/>
          <w:b/>
          <w:bCs/>
          <w:color w:val="000000"/>
          <w:sz w:val="24"/>
          <w:szCs w:val="24"/>
          <w:rtl/>
        </w:rPr>
        <w:t>אביאן</w:t>
      </w:r>
      <w:r>
        <w:rPr>
          <w:rFonts w:ascii="David" w:hAnsi="David" w:cs="David" w:hint="cs"/>
          <w:color w:val="000000"/>
          <w:sz w:val="24"/>
          <w:szCs w:val="24"/>
          <w:rtl/>
        </w:rPr>
        <w:t>), פיסקה 14 לחוות דעתו של כב' השופט מישאל חשין)</w:t>
      </w:r>
      <w:r>
        <w:rPr>
          <w:rFonts w:ascii="David" w:hAnsi="David" w:cs="David" w:hint="cs"/>
          <w:i/>
          <w:iCs/>
          <w:sz w:val="24"/>
          <w:szCs w:val="24"/>
          <w:rtl/>
        </w:rPr>
        <w:t>.</w:t>
      </w:r>
    </w:p>
    <w:p w:rsidR="008110BF" w:rsidRDefault="008110BF" w:rsidP="008110BF">
      <w:pPr>
        <w:pStyle w:val="ad"/>
        <w:spacing w:line="240" w:lineRule="auto"/>
        <w:ind w:left="1361" w:right="1134"/>
        <w:jc w:val="both"/>
        <w:rPr>
          <w:rFonts w:ascii="David" w:hAnsi="David" w:cs="David"/>
          <w:i/>
          <w:iCs/>
          <w:sz w:val="24"/>
          <w:szCs w:val="24"/>
          <w:rtl/>
        </w:rPr>
      </w:pPr>
    </w:p>
    <w:p w:rsidR="008110BF" w:rsidRPr="007D7F02" w:rsidRDefault="008110BF" w:rsidP="008110BF">
      <w:pPr>
        <w:pStyle w:val="ad"/>
        <w:spacing w:line="240" w:lineRule="auto"/>
        <w:ind w:left="1361" w:right="1134"/>
        <w:jc w:val="both"/>
        <w:rPr>
          <w:rFonts w:ascii="David" w:hAnsi="David" w:cs="David"/>
          <w:i/>
          <w:iCs/>
          <w:sz w:val="24"/>
          <w:szCs w:val="24"/>
          <w:rtl/>
        </w:rPr>
      </w:pPr>
    </w:p>
    <w:p w:rsidR="008110BF" w:rsidRPr="00084307" w:rsidRDefault="008110BF" w:rsidP="008110BF">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אכן, הקביעה כי אירוע מסוים מהווה סיבה שבלעדיה אין ביחס לתוצאה מסוימת (קשר סיבתי עובדתי), הוא שלב הכרחי, אך בלתי מספיק, </w:t>
      </w:r>
      <w:r w:rsidRPr="00084307">
        <w:rPr>
          <w:rFonts w:ascii="David" w:hAnsi="David" w:cs="David" w:hint="cs"/>
          <w:sz w:val="24"/>
          <w:szCs w:val="24"/>
          <w:rtl/>
        </w:rPr>
        <w:t xml:space="preserve">לקביעת קיומו של קשר סיבתי. </w:t>
      </w:r>
      <w:r>
        <w:rPr>
          <w:rFonts w:ascii="David" w:hAnsi="David" w:cs="David" w:hint="cs"/>
          <w:sz w:val="24"/>
          <w:szCs w:val="24"/>
          <w:rtl/>
        </w:rPr>
        <w:t xml:space="preserve">השלב ההכרחי הנוסף הוא קביעת קיומו של </w:t>
      </w:r>
      <w:r w:rsidRPr="00084307">
        <w:rPr>
          <w:rFonts w:ascii="David" w:hAnsi="David" w:cs="David" w:hint="cs"/>
          <w:b/>
          <w:bCs/>
          <w:sz w:val="24"/>
          <w:szCs w:val="24"/>
          <w:rtl/>
        </w:rPr>
        <w:t>קשר סיבתי משפטי</w:t>
      </w:r>
      <w:r>
        <w:rPr>
          <w:rFonts w:ascii="David" w:hAnsi="David" w:cs="David" w:hint="cs"/>
          <w:sz w:val="24"/>
          <w:szCs w:val="24"/>
          <w:rtl/>
        </w:rPr>
        <w:t xml:space="preserve">, שמטרתו לאתר אלו מבין הגורמים העובדתיים אשר גרמו לתוצאה, הם כאלה המצדיקים לפרוש עליהם את חוק הנכים או את חוק משפחות חיילים. אכן, "קשר סיבתי-משפטי </w:t>
      </w:r>
      <w:r w:rsidRPr="00E56DC2">
        <w:rPr>
          <w:rFonts w:ascii="David" w:hAnsi="David" w:cs="David"/>
          <w:sz w:val="24"/>
          <w:szCs w:val="24"/>
          <w:rtl/>
        </w:rPr>
        <w:t>כורך – על</w:t>
      </w:r>
      <w:r w:rsidRPr="00E56DC2">
        <w:rPr>
          <w:rFonts w:ascii="David" w:hAnsi="David" w:cs="David"/>
          <w:sz w:val="24"/>
          <w:szCs w:val="24"/>
        </w:rPr>
        <w:t>-</w:t>
      </w:r>
      <w:r w:rsidRPr="00E56DC2">
        <w:rPr>
          <w:rFonts w:ascii="David" w:hAnsi="David" w:cs="David"/>
          <w:sz w:val="24"/>
          <w:szCs w:val="24"/>
          <w:rtl/>
        </w:rPr>
        <w:t>פי עצם טיבו – שיקולים ערכיים באשר לתחום התפרשותו הראוי של החוק</w:t>
      </w:r>
      <w:r>
        <w:rPr>
          <w:rFonts w:ascii="David" w:hAnsi="David" w:cs="David" w:hint="cs"/>
          <w:sz w:val="24"/>
          <w:szCs w:val="24"/>
          <w:rtl/>
        </w:rPr>
        <w:t xml:space="preserve"> [...]</w:t>
      </w:r>
      <w:r w:rsidRPr="00E56DC2">
        <w:rPr>
          <w:rFonts w:ascii="David" w:hAnsi="David" w:cs="David" w:hint="cs"/>
          <w:sz w:val="24"/>
          <w:szCs w:val="24"/>
          <w:rtl/>
        </w:rPr>
        <w:t>"</w:t>
      </w:r>
      <w:r>
        <w:rPr>
          <w:rFonts w:ascii="David" w:hAnsi="David" w:cs="David" w:hint="cs"/>
          <w:sz w:val="24"/>
          <w:szCs w:val="24"/>
          <w:rtl/>
        </w:rPr>
        <w:t xml:space="preserve"> (ראו, פרשת </w:t>
      </w:r>
      <w:r w:rsidRPr="00E56DC2">
        <w:rPr>
          <w:rFonts w:ascii="David" w:hAnsi="David" w:cs="David" w:hint="cs"/>
          <w:b/>
          <w:bCs/>
          <w:sz w:val="24"/>
          <w:szCs w:val="24"/>
          <w:rtl/>
        </w:rPr>
        <w:t>אביאן</w:t>
      </w:r>
      <w:r>
        <w:rPr>
          <w:rFonts w:ascii="David" w:hAnsi="David" w:cs="David" w:hint="cs"/>
          <w:sz w:val="24"/>
          <w:szCs w:val="24"/>
          <w:rtl/>
        </w:rPr>
        <w:t xml:space="preserve">, פיסקה 20 לחוות דעתו של כב' השופט מישאל חשין). ממילא, גם אם נקבל את טענת המערערים שלפיה אופן התנהלותו הנטען של הרס"ר כלפי המנוח הייתה "סיבה שבלעדיה אין" להתרחשות התאונה - אין בכך כדי להוביל, בהכרח, למסקנה שלפיה מתקיים התנאי בדבר "עקב השירות"; ויש להמשיך ולבדוק את סוגיית הקשר הסיבתי המשפטי. </w:t>
      </w:r>
    </w:p>
    <w:p w:rsidR="008110BF" w:rsidRDefault="008110BF" w:rsidP="008110BF">
      <w:pPr>
        <w:pStyle w:val="ad"/>
        <w:spacing w:line="360" w:lineRule="auto"/>
        <w:jc w:val="both"/>
        <w:rPr>
          <w:rFonts w:ascii="David" w:hAnsi="David" w:cs="David"/>
          <w:sz w:val="24"/>
          <w:szCs w:val="24"/>
          <w:rtl/>
        </w:rPr>
      </w:pPr>
    </w:p>
    <w:p w:rsidR="008110BF" w:rsidRDefault="008110BF" w:rsidP="008110BF">
      <w:pPr>
        <w:pStyle w:val="ad"/>
        <w:numPr>
          <w:ilvl w:val="0"/>
          <w:numId w:val="1"/>
        </w:numPr>
        <w:spacing w:line="360" w:lineRule="auto"/>
        <w:jc w:val="both"/>
        <w:rPr>
          <w:rFonts w:ascii="David" w:hAnsi="David" w:cs="David"/>
          <w:sz w:val="24"/>
          <w:szCs w:val="24"/>
        </w:rPr>
      </w:pPr>
      <w:r w:rsidRPr="0063500F">
        <w:rPr>
          <w:rFonts w:ascii="David" w:hAnsi="David" w:cs="David" w:hint="cs"/>
          <w:sz w:val="24"/>
          <w:szCs w:val="24"/>
          <w:rtl/>
        </w:rPr>
        <w:t xml:space="preserve">בפרשת </w:t>
      </w:r>
      <w:r w:rsidRPr="0063500F">
        <w:rPr>
          <w:rFonts w:ascii="David" w:hAnsi="David" w:cs="David" w:hint="cs"/>
          <w:b/>
          <w:bCs/>
          <w:sz w:val="24"/>
          <w:szCs w:val="24"/>
          <w:rtl/>
        </w:rPr>
        <w:t>אביאן</w:t>
      </w:r>
      <w:r w:rsidRPr="0063500F">
        <w:rPr>
          <w:rFonts w:ascii="David" w:hAnsi="David" w:cs="David" w:hint="cs"/>
          <w:sz w:val="24"/>
          <w:szCs w:val="24"/>
          <w:rtl/>
        </w:rPr>
        <w:t xml:space="preserve"> שירטט בית המשפט העליון </w:t>
      </w:r>
      <w:r>
        <w:rPr>
          <w:rFonts w:ascii="David" w:hAnsi="David" w:cs="David" w:hint="cs"/>
          <w:sz w:val="24"/>
          <w:szCs w:val="24"/>
          <w:rtl/>
        </w:rPr>
        <w:t xml:space="preserve">באריכות ובפירוט </w:t>
      </w:r>
      <w:r w:rsidRPr="0063500F">
        <w:rPr>
          <w:rFonts w:ascii="David" w:hAnsi="David" w:cs="David" w:hint="cs"/>
          <w:sz w:val="24"/>
          <w:szCs w:val="24"/>
          <w:rtl/>
        </w:rPr>
        <w:t>את הכללים החלים ביחס לקביעתו של הקשר הסיבתי המשפטי במסגרת חוקי תגמולי הנכים. במסגרת פסק הדין הבחין בית המשפט בין שלושה סוגים שונים של מקרים, אשר עשויים לקיים את מבחן הקשר הסיבתי המשפטי</w:t>
      </w:r>
      <w:r>
        <w:rPr>
          <w:rFonts w:ascii="David" w:hAnsi="David" w:cs="David" w:hint="cs"/>
          <w:sz w:val="24"/>
          <w:szCs w:val="24"/>
          <w:rtl/>
        </w:rPr>
        <w:t xml:space="preserve"> (שם, פיסקאות 26-23); ובהמשך הוסיף והתווה את האופן שבו יש לקבוע קיומו של קשר סיבתי משפטי</w:t>
      </w:r>
      <w:r w:rsidRPr="0063500F">
        <w:rPr>
          <w:rFonts w:ascii="David" w:hAnsi="David" w:cs="David" w:hint="cs"/>
          <w:sz w:val="24"/>
          <w:szCs w:val="24"/>
          <w:rtl/>
        </w:rPr>
        <w:t>.</w:t>
      </w:r>
      <w:r>
        <w:rPr>
          <w:rFonts w:ascii="David" w:hAnsi="David" w:cs="David" w:hint="cs"/>
          <w:sz w:val="24"/>
          <w:szCs w:val="24"/>
          <w:rtl/>
        </w:rPr>
        <w:t xml:space="preserve"> נציין כי </w:t>
      </w:r>
      <w:r w:rsidRPr="0063500F">
        <w:rPr>
          <w:rFonts w:ascii="David" w:hAnsi="David" w:cs="David" w:hint="cs"/>
          <w:sz w:val="24"/>
          <w:szCs w:val="24"/>
          <w:rtl/>
        </w:rPr>
        <w:t>פסק הדין התמקד אמנם בקביעת הקשר הסיבתי ביחס לפריצתן של מחלות קונסטיטוציונליות</w:t>
      </w:r>
      <w:r>
        <w:rPr>
          <w:rFonts w:ascii="David" w:hAnsi="David" w:cs="David" w:hint="cs"/>
          <w:sz w:val="24"/>
          <w:szCs w:val="24"/>
          <w:rtl/>
        </w:rPr>
        <w:t xml:space="preserve"> (מחלות רדומות המתפרצות בגופו של אדם בנקודת זמן מסוימת)</w:t>
      </w:r>
      <w:r w:rsidRPr="0063500F">
        <w:rPr>
          <w:rFonts w:ascii="David" w:hAnsi="David" w:cs="David" w:hint="cs"/>
          <w:sz w:val="24"/>
          <w:szCs w:val="24"/>
          <w:rtl/>
        </w:rPr>
        <w:t>, ואולם ה</w:t>
      </w:r>
      <w:r>
        <w:rPr>
          <w:rFonts w:ascii="David" w:hAnsi="David" w:cs="David" w:hint="cs"/>
          <w:sz w:val="24"/>
          <w:szCs w:val="24"/>
          <w:rtl/>
        </w:rPr>
        <w:t>דיון והקביעות שנקבעו בפסק הדין ר</w:t>
      </w:r>
      <w:r w:rsidRPr="0063500F">
        <w:rPr>
          <w:rFonts w:ascii="David" w:hAnsi="David" w:cs="David" w:hint="cs"/>
          <w:sz w:val="24"/>
          <w:szCs w:val="24"/>
          <w:rtl/>
        </w:rPr>
        <w:t xml:space="preserve">לוונטיים גם לענייננו. </w:t>
      </w:r>
    </w:p>
    <w:p w:rsidR="008110BF" w:rsidRPr="0063500F" w:rsidRDefault="008110BF" w:rsidP="008110BF">
      <w:pPr>
        <w:pStyle w:val="ad"/>
        <w:rPr>
          <w:rFonts w:ascii="David" w:hAnsi="David" w:cs="David"/>
          <w:sz w:val="24"/>
          <w:szCs w:val="24"/>
          <w:rtl/>
        </w:rPr>
      </w:pPr>
    </w:p>
    <w:p w:rsidR="008110BF" w:rsidRPr="0063500F" w:rsidRDefault="008110BF" w:rsidP="008110BF">
      <w:pPr>
        <w:pStyle w:val="ad"/>
        <w:numPr>
          <w:ilvl w:val="0"/>
          <w:numId w:val="1"/>
        </w:numPr>
        <w:spacing w:line="360" w:lineRule="auto"/>
        <w:jc w:val="both"/>
        <w:rPr>
          <w:rFonts w:ascii="David" w:hAnsi="David" w:cs="David"/>
          <w:sz w:val="24"/>
          <w:szCs w:val="24"/>
          <w:rtl/>
        </w:rPr>
      </w:pPr>
      <w:r w:rsidRPr="0063500F">
        <w:rPr>
          <w:rFonts w:ascii="David" w:hAnsi="David" w:cs="David" w:hint="cs"/>
          <w:sz w:val="24"/>
          <w:szCs w:val="24"/>
          <w:rtl/>
        </w:rPr>
        <w:t>עיון במבחנים שהתוו בפסק הדין</w:t>
      </w:r>
      <w:r>
        <w:rPr>
          <w:rFonts w:ascii="David" w:hAnsi="David" w:cs="David" w:hint="cs"/>
          <w:sz w:val="24"/>
          <w:szCs w:val="24"/>
          <w:rtl/>
        </w:rPr>
        <w:t xml:space="preserve"> בפרשת </w:t>
      </w:r>
      <w:r w:rsidRPr="00BF468B">
        <w:rPr>
          <w:rFonts w:ascii="David" w:hAnsi="David" w:cs="David" w:hint="cs"/>
          <w:b/>
          <w:bCs/>
          <w:sz w:val="24"/>
          <w:szCs w:val="24"/>
          <w:rtl/>
        </w:rPr>
        <w:t>אביאן</w:t>
      </w:r>
      <w:r>
        <w:rPr>
          <w:rFonts w:ascii="David" w:hAnsi="David" w:cs="David" w:hint="cs"/>
          <w:sz w:val="24"/>
          <w:szCs w:val="24"/>
          <w:rtl/>
        </w:rPr>
        <w:t>;</w:t>
      </w:r>
      <w:r w:rsidRPr="0063500F">
        <w:rPr>
          <w:rFonts w:ascii="David" w:hAnsi="David" w:cs="David" w:hint="cs"/>
          <w:sz w:val="24"/>
          <w:szCs w:val="24"/>
          <w:rtl/>
        </w:rPr>
        <w:t xml:space="preserve"> ו</w:t>
      </w:r>
      <w:r>
        <w:rPr>
          <w:rFonts w:ascii="David" w:hAnsi="David" w:cs="David" w:hint="cs"/>
          <w:sz w:val="24"/>
          <w:szCs w:val="24"/>
          <w:rtl/>
        </w:rPr>
        <w:t xml:space="preserve">לא פחות חשוב מכך - </w:t>
      </w:r>
      <w:r w:rsidRPr="0063500F">
        <w:rPr>
          <w:rFonts w:ascii="David" w:hAnsi="David" w:cs="David" w:hint="cs"/>
          <w:b/>
          <w:bCs/>
          <w:sz w:val="24"/>
          <w:szCs w:val="24"/>
          <w:rtl/>
        </w:rPr>
        <w:t xml:space="preserve">בחינת ההיגיון העומד בבסיסם של </w:t>
      </w:r>
      <w:r>
        <w:rPr>
          <w:rFonts w:ascii="David" w:hAnsi="David" w:cs="David" w:hint="cs"/>
          <w:b/>
          <w:bCs/>
          <w:sz w:val="24"/>
          <w:szCs w:val="24"/>
          <w:rtl/>
        </w:rPr>
        <w:t>הדברים</w:t>
      </w:r>
      <w:r>
        <w:rPr>
          <w:rFonts w:ascii="David" w:hAnsi="David" w:cs="David" w:hint="cs"/>
          <w:sz w:val="24"/>
          <w:szCs w:val="24"/>
          <w:rtl/>
        </w:rPr>
        <w:t xml:space="preserve"> -</w:t>
      </w:r>
      <w:r w:rsidRPr="0063500F">
        <w:rPr>
          <w:rFonts w:ascii="David" w:hAnsi="David" w:cs="David" w:hint="cs"/>
          <w:sz w:val="24"/>
          <w:szCs w:val="24"/>
          <w:rtl/>
        </w:rPr>
        <w:t xml:space="preserve"> </w:t>
      </w:r>
      <w:r>
        <w:rPr>
          <w:rFonts w:ascii="David" w:hAnsi="David" w:cs="David" w:hint="cs"/>
          <w:sz w:val="24"/>
          <w:szCs w:val="24"/>
          <w:rtl/>
        </w:rPr>
        <w:t xml:space="preserve">מוביל </w:t>
      </w:r>
      <w:r w:rsidRPr="0063500F">
        <w:rPr>
          <w:rFonts w:ascii="David" w:hAnsi="David" w:cs="David" w:hint="cs"/>
          <w:sz w:val="24"/>
          <w:szCs w:val="24"/>
          <w:rtl/>
        </w:rPr>
        <w:t xml:space="preserve">בבירור </w:t>
      </w:r>
      <w:r>
        <w:rPr>
          <w:rFonts w:ascii="David" w:hAnsi="David" w:cs="David" w:hint="cs"/>
          <w:sz w:val="24"/>
          <w:szCs w:val="24"/>
          <w:rtl/>
        </w:rPr>
        <w:t xml:space="preserve">למסקנה </w:t>
      </w:r>
      <w:r w:rsidRPr="0063500F">
        <w:rPr>
          <w:rFonts w:ascii="David" w:hAnsi="David" w:cs="David" w:hint="cs"/>
          <w:sz w:val="24"/>
          <w:szCs w:val="24"/>
          <w:rtl/>
        </w:rPr>
        <w:t xml:space="preserve">כי המקרה שלפנינו אינו מקיים את מבחן </w:t>
      </w:r>
      <w:r>
        <w:rPr>
          <w:rFonts w:ascii="David" w:hAnsi="David" w:cs="David" w:hint="cs"/>
          <w:sz w:val="24"/>
          <w:szCs w:val="24"/>
          <w:rtl/>
        </w:rPr>
        <w:t>ה</w:t>
      </w:r>
      <w:r w:rsidRPr="0063500F">
        <w:rPr>
          <w:rFonts w:ascii="David" w:hAnsi="David" w:cs="David" w:hint="cs"/>
          <w:sz w:val="24"/>
          <w:szCs w:val="24"/>
          <w:rtl/>
        </w:rPr>
        <w:t xml:space="preserve">קשר </w:t>
      </w:r>
      <w:r>
        <w:rPr>
          <w:rFonts w:ascii="David" w:hAnsi="David" w:cs="David" w:hint="cs"/>
          <w:sz w:val="24"/>
          <w:szCs w:val="24"/>
          <w:rtl/>
        </w:rPr>
        <w:t>ה</w:t>
      </w:r>
      <w:r w:rsidRPr="0063500F">
        <w:rPr>
          <w:rFonts w:ascii="David" w:hAnsi="David" w:cs="David" w:hint="cs"/>
          <w:sz w:val="24"/>
          <w:szCs w:val="24"/>
          <w:rtl/>
        </w:rPr>
        <w:t xml:space="preserve">סיבתי </w:t>
      </w:r>
      <w:r>
        <w:rPr>
          <w:rFonts w:ascii="David" w:hAnsi="David" w:cs="David" w:hint="cs"/>
          <w:sz w:val="24"/>
          <w:szCs w:val="24"/>
          <w:rtl/>
        </w:rPr>
        <w:t>ה</w:t>
      </w:r>
      <w:r w:rsidRPr="0063500F">
        <w:rPr>
          <w:rFonts w:ascii="David" w:hAnsi="David" w:cs="David" w:hint="cs"/>
          <w:sz w:val="24"/>
          <w:szCs w:val="24"/>
          <w:rtl/>
        </w:rPr>
        <w:t>משפטי</w:t>
      </w:r>
      <w:r>
        <w:rPr>
          <w:rFonts w:ascii="David" w:hAnsi="David" w:cs="David" w:hint="cs"/>
          <w:sz w:val="24"/>
          <w:szCs w:val="24"/>
          <w:rtl/>
        </w:rPr>
        <w:t>, ונסביר</w:t>
      </w:r>
      <w:r w:rsidRPr="0063500F">
        <w:rPr>
          <w:rFonts w:ascii="David" w:hAnsi="David" w:cs="David" w:hint="cs"/>
          <w:sz w:val="24"/>
          <w:szCs w:val="24"/>
          <w:rtl/>
        </w:rPr>
        <w:t>.</w:t>
      </w:r>
      <w:r>
        <w:rPr>
          <w:rFonts w:ascii="David" w:hAnsi="David" w:cs="David" w:hint="cs"/>
          <w:sz w:val="24"/>
          <w:szCs w:val="24"/>
          <w:rtl/>
        </w:rPr>
        <w:t xml:space="preserve"> שלושת סוגי המקרים המדוברים בפסק הדין עוסקים בסיטואציות אשר יש להן קשר, </w:t>
      </w:r>
      <w:r w:rsidRPr="00B6726F">
        <w:rPr>
          <w:rFonts w:ascii="David" w:hAnsi="David" w:cs="David" w:hint="cs"/>
          <w:b/>
          <w:bCs/>
          <w:sz w:val="24"/>
          <w:szCs w:val="24"/>
          <w:rtl/>
        </w:rPr>
        <w:t>ולו במידה מסוימת</w:t>
      </w:r>
      <w:r>
        <w:rPr>
          <w:rFonts w:ascii="David" w:hAnsi="David" w:cs="David" w:hint="cs"/>
          <w:sz w:val="24"/>
          <w:szCs w:val="24"/>
          <w:rtl/>
        </w:rPr>
        <w:t xml:space="preserve">, לשירות הצבאי. ואילו בענייננו, </w:t>
      </w:r>
      <w:r w:rsidRPr="00B6726F">
        <w:rPr>
          <w:rFonts w:ascii="David" w:hAnsi="David" w:cs="David" w:hint="cs"/>
          <w:b/>
          <w:bCs/>
          <w:sz w:val="24"/>
          <w:szCs w:val="24"/>
          <w:rtl/>
        </w:rPr>
        <w:t>התאונה אשר גרמה למותו של המנוח אירעה בנסיבות אזרחיות מובהקות</w:t>
      </w:r>
      <w:r>
        <w:rPr>
          <w:rFonts w:ascii="David" w:hAnsi="David" w:cs="David" w:hint="cs"/>
          <w:b/>
          <w:bCs/>
          <w:sz w:val="24"/>
          <w:szCs w:val="24"/>
          <w:rtl/>
        </w:rPr>
        <w:t>,</w:t>
      </w:r>
      <w:r w:rsidRPr="00B6726F">
        <w:rPr>
          <w:rFonts w:ascii="David" w:hAnsi="David" w:cs="David" w:hint="cs"/>
          <w:b/>
          <w:bCs/>
          <w:sz w:val="24"/>
          <w:szCs w:val="24"/>
          <w:rtl/>
        </w:rPr>
        <w:t xml:space="preserve"> </w:t>
      </w:r>
      <w:r>
        <w:rPr>
          <w:rFonts w:ascii="David" w:hAnsi="David" w:cs="David" w:hint="cs"/>
          <w:b/>
          <w:bCs/>
          <w:sz w:val="24"/>
          <w:szCs w:val="24"/>
          <w:rtl/>
        </w:rPr>
        <w:t xml:space="preserve">במהלך פעילות אזרחית וולנטרית אותה מבצע המנוח, </w:t>
      </w:r>
      <w:r w:rsidRPr="00B6726F">
        <w:rPr>
          <w:rFonts w:ascii="David" w:hAnsi="David" w:cs="David" w:hint="cs"/>
          <w:b/>
          <w:bCs/>
          <w:sz w:val="24"/>
          <w:szCs w:val="24"/>
          <w:rtl/>
        </w:rPr>
        <w:t xml:space="preserve">במנותק לחלוטין </w:t>
      </w:r>
      <w:r>
        <w:rPr>
          <w:rFonts w:ascii="David" w:hAnsi="David" w:cs="David" w:hint="cs"/>
          <w:b/>
          <w:bCs/>
          <w:sz w:val="24"/>
          <w:szCs w:val="24"/>
          <w:rtl/>
        </w:rPr>
        <w:t>מן השירות ושעה שהמנוח נעדר מהשירות הצבאי משך פרק זמן ממשי</w:t>
      </w:r>
      <w:r w:rsidRPr="0063500F">
        <w:rPr>
          <w:rFonts w:ascii="David" w:hAnsi="David" w:cs="David" w:hint="cs"/>
          <w:sz w:val="24"/>
          <w:szCs w:val="24"/>
          <w:rtl/>
        </w:rPr>
        <w:t xml:space="preserve">. </w:t>
      </w:r>
    </w:p>
    <w:p w:rsidR="008110BF" w:rsidRDefault="008110BF" w:rsidP="008110BF">
      <w:pPr>
        <w:pStyle w:val="ad"/>
        <w:spacing w:line="360" w:lineRule="auto"/>
        <w:jc w:val="both"/>
        <w:rPr>
          <w:rFonts w:ascii="David" w:hAnsi="David" w:cs="David"/>
          <w:sz w:val="24"/>
          <w:szCs w:val="24"/>
          <w:rtl/>
        </w:rPr>
      </w:pPr>
    </w:p>
    <w:p w:rsidR="008110BF" w:rsidRDefault="008110BF" w:rsidP="008110BF">
      <w:pPr>
        <w:pStyle w:val="ad"/>
        <w:spacing w:line="360" w:lineRule="auto"/>
        <w:jc w:val="both"/>
        <w:rPr>
          <w:rFonts w:ascii="David" w:hAnsi="David" w:cs="David"/>
          <w:sz w:val="24"/>
          <w:szCs w:val="24"/>
          <w:rtl/>
        </w:rPr>
      </w:pPr>
      <w:r>
        <w:rPr>
          <w:rFonts w:ascii="David" w:hAnsi="David" w:cs="David" w:hint="cs"/>
          <w:sz w:val="24"/>
          <w:szCs w:val="24"/>
          <w:rtl/>
        </w:rPr>
        <w:t xml:space="preserve">כך, סוג המקרים הראשון הנזכר בפסק הדין מדבר על אירועים שבהם המיוחדות והייחודיות של השירות הצבאי הובילו לפגיעה בחייל; ואילו סוג המקרים השני </w:t>
      </w:r>
      <w:r w:rsidRPr="0063500F">
        <w:rPr>
          <w:rFonts w:ascii="David" w:hAnsi="David" w:cs="David" w:hint="cs"/>
          <w:sz w:val="24"/>
          <w:szCs w:val="24"/>
          <w:rtl/>
        </w:rPr>
        <w:t xml:space="preserve">מדבר על </w:t>
      </w:r>
      <w:r w:rsidRPr="0063500F">
        <w:rPr>
          <w:rFonts w:ascii="David" w:hAnsi="David" w:cs="David"/>
          <w:sz w:val="24"/>
          <w:szCs w:val="24"/>
          <w:rtl/>
        </w:rPr>
        <w:t>אירועים חריגים ויוצאי</w:t>
      </w:r>
      <w:r w:rsidRPr="0063500F">
        <w:rPr>
          <w:rFonts w:ascii="David" w:hAnsi="David" w:cs="David"/>
          <w:sz w:val="24"/>
          <w:szCs w:val="24"/>
        </w:rPr>
        <w:t>-</w:t>
      </w:r>
      <w:r w:rsidRPr="0063500F">
        <w:rPr>
          <w:rFonts w:ascii="David" w:hAnsi="David" w:cs="David"/>
          <w:sz w:val="24"/>
          <w:szCs w:val="24"/>
          <w:rtl/>
        </w:rPr>
        <w:t xml:space="preserve">דופן שאירעו לחייל במהלך </w:t>
      </w:r>
      <w:r w:rsidRPr="0063500F">
        <w:rPr>
          <w:rFonts w:ascii="David" w:hAnsi="David" w:cs="David" w:hint="cs"/>
          <w:sz w:val="24"/>
          <w:szCs w:val="24"/>
          <w:rtl/>
        </w:rPr>
        <w:t>ה</w:t>
      </w:r>
      <w:r w:rsidRPr="0063500F">
        <w:rPr>
          <w:rFonts w:ascii="David" w:hAnsi="David" w:cs="David"/>
          <w:sz w:val="24"/>
          <w:szCs w:val="24"/>
          <w:rtl/>
        </w:rPr>
        <w:t>שירות</w:t>
      </w:r>
      <w:r w:rsidRPr="0063500F">
        <w:rPr>
          <w:rFonts w:ascii="David" w:hAnsi="David" w:cs="David" w:hint="cs"/>
          <w:sz w:val="24"/>
          <w:szCs w:val="24"/>
          <w:rtl/>
        </w:rPr>
        <w:t xml:space="preserve"> הצבאי </w:t>
      </w:r>
      <w:r w:rsidRPr="0063500F">
        <w:rPr>
          <w:rFonts w:ascii="David" w:hAnsi="David" w:cs="David"/>
          <w:b/>
          <w:bCs/>
          <w:sz w:val="24"/>
          <w:szCs w:val="24"/>
          <w:rtl/>
        </w:rPr>
        <w:t>ובקשר עם שירות</w:t>
      </w:r>
      <w:r w:rsidRPr="0063500F">
        <w:rPr>
          <w:rFonts w:ascii="David" w:hAnsi="David" w:cs="David" w:hint="cs"/>
          <w:b/>
          <w:bCs/>
          <w:sz w:val="24"/>
          <w:szCs w:val="24"/>
          <w:rtl/>
        </w:rPr>
        <w:t>ו</w:t>
      </w:r>
      <w:r>
        <w:rPr>
          <w:rFonts w:ascii="David" w:hAnsi="David" w:cs="David" w:hint="cs"/>
          <w:sz w:val="24"/>
          <w:szCs w:val="24"/>
          <w:rtl/>
        </w:rPr>
        <w:t xml:space="preserve">. אפילו סוג המקרים השלישי, שבו הקשר בין השירות הצבאי לבין הפגיעה הוא הרופף ביותר, מחייב מידה מסוימת של זיקה לשירות הצבאי. הוכחה ברורה לכך ניתן למצוא במבחן </w:t>
      </w:r>
      <w:r w:rsidRPr="00E259D2">
        <w:rPr>
          <w:rFonts w:ascii="David" w:hAnsi="David" w:cs="David"/>
          <w:sz w:val="24"/>
          <w:szCs w:val="24"/>
          <w:rtl/>
        </w:rPr>
        <w:t>העזר שאומץ לצורך בחינ</w:t>
      </w:r>
      <w:r>
        <w:rPr>
          <w:rFonts w:ascii="David" w:hAnsi="David" w:cs="David" w:hint="cs"/>
          <w:sz w:val="24"/>
          <w:szCs w:val="24"/>
          <w:rtl/>
        </w:rPr>
        <w:t>ת</w:t>
      </w:r>
      <w:r w:rsidRPr="00E259D2">
        <w:rPr>
          <w:rFonts w:ascii="David" w:hAnsi="David" w:cs="David"/>
          <w:sz w:val="24"/>
          <w:szCs w:val="24"/>
          <w:rtl/>
        </w:rPr>
        <w:t xml:space="preserve"> מקרים המשתייכים לסוג זה, שעניינו </w:t>
      </w:r>
      <w:r w:rsidRPr="00E259D2">
        <w:rPr>
          <w:rFonts w:ascii="David" w:hAnsi="David" w:cs="David"/>
          <w:b/>
          <w:bCs/>
          <w:sz w:val="24"/>
          <w:szCs w:val="24"/>
          <w:rtl/>
        </w:rPr>
        <w:t>השוואה בין חיי הצבא לבין החיים האזרחיים</w:t>
      </w:r>
      <w:r>
        <w:rPr>
          <w:rFonts w:ascii="David" w:hAnsi="David" w:cs="David" w:hint="cs"/>
          <w:sz w:val="24"/>
          <w:szCs w:val="24"/>
          <w:rtl/>
        </w:rPr>
        <w:t xml:space="preserve">. על פי </w:t>
      </w:r>
      <w:r>
        <w:rPr>
          <w:rFonts w:ascii="David" w:hAnsi="David" w:cs="David" w:hint="cs"/>
          <w:color w:val="000000"/>
          <w:sz w:val="24"/>
          <w:szCs w:val="24"/>
          <w:rtl/>
        </w:rPr>
        <w:t>מבחן עזר זה, א</w:t>
      </w:r>
      <w:r w:rsidRPr="00E259D2">
        <w:rPr>
          <w:rFonts w:ascii="David" w:hAnsi="David" w:cs="David"/>
          <w:color w:val="000000"/>
          <w:sz w:val="24"/>
          <w:szCs w:val="24"/>
          <w:rtl/>
        </w:rPr>
        <w:t xml:space="preserve">ם המחלה </w:t>
      </w:r>
      <w:r>
        <w:rPr>
          <w:rFonts w:ascii="David" w:hAnsi="David" w:cs="David" w:hint="cs"/>
          <w:color w:val="000000"/>
          <w:sz w:val="24"/>
          <w:szCs w:val="24"/>
          <w:rtl/>
        </w:rPr>
        <w:t xml:space="preserve">הקונסטיטוציונלית הייתה </w:t>
      </w:r>
      <w:r w:rsidRPr="00E259D2">
        <w:rPr>
          <w:rFonts w:ascii="David" w:hAnsi="David" w:cs="David"/>
          <w:color w:val="000000"/>
          <w:sz w:val="24"/>
          <w:szCs w:val="24"/>
          <w:rtl/>
        </w:rPr>
        <w:t xml:space="preserve">פורצת בכל מקרה </w:t>
      </w:r>
      <w:r>
        <w:rPr>
          <w:rFonts w:ascii="David" w:hAnsi="David" w:cs="David" w:hint="cs"/>
          <w:color w:val="000000"/>
          <w:sz w:val="24"/>
          <w:szCs w:val="24"/>
          <w:rtl/>
        </w:rPr>
        <w:t>-</w:t>
      </w:r>
      <w:r w:rsidRPr="00E259D2">
        <w:rPr>
          <w:rFonts w:ascii="David" w:hAnsi="David" w:cs="David"/>
          <w:color w:val="000000"/>
          <w:sz w:val="24"/>
          <w:szCs w:val="24"/>
          <w:rtl/>
        </w:rPr>
        <w:t xml:space="preserve"> גם בחיים האזרחיים – יישלל קיומו של קשר סיבתי לשירות </w:t>
      </w:r>
      <w:r>
        <w:rPr>
          <w:rFonts w:ascii="David" w:hAnsi="David" w:cs="David" w:hint="cs"/>
          <w:color w:val="000000"/>
          <w:sz w:val="24"/>
          <w:szCs w:val="24"/>
          <w:rtl/>
        </w:rPr>
        <w:t>ה</w:t>
      </w:r>
      <w:r w:rsidRPr="00E259D2">
        <w:rPr>
          <w:rFonts w:ascii="David" w:hAnsi="David" w:cs="David"/>
          <w:color w:val="000000"/>
          <w:sz w:val="24"/>
          <w:szCs w:val="24"/>
          <w:rtl/>
        </w:rPr>
        <w:t>צבא</w:t>
      </w:r>
      <w:r>
        <w:rPr>
          <w:rFonts w:ascii="David" w:hAnsi="David" w:cs="David" w:hint="cs"/>
          <w:color w:val="000000"/>
          <w:sz w:val="24"/>
          <w:szCs w:val="24"/>
          <w:rtl/>
        </w:rPr>
        <w:t>י</w:t>
      </w:r>
      <w:r>
        <w:rPr>
          <w:rFonts w:ascii="David" w:hAnsi="David" w:cs="David"/>
          <w:color w:val="000000"/>
          <w:sz w:val="24"/>
          <w:szCs w:val="24"/>
        </w:rPr>
        <w:t xml:space="preserve"> </w:t>
      </w:r>
      <w:r w:rsidRPr="00E259D2">
        <w:rPr>
          <w:rFonts w:ascii="David" w:hAnsi="David" w:cs="David"/>
          <w:sz w:val="24"/>
          <w:szCs w:val="24"/>
          <w:rtl/>
        </w:rPr>
        <w:t>(</w:t>
      </w:r>
      <w:r>
        <w:rPr>
          <w:rFonts w:ascii="David" w:hAnsi="David" w:cs="David" w:hint="cs"/>
          <w:sz w:val="24"/>
          <w:szCs w:val="24"/>
          <w:rtl/>
        </w:rPr>
        <w:t xml:space="preserve">בהקשר זה </w:t>
      </w:r>
      <w:r w:rsidRPr="00E259D2">
        <w:rPr>
          <w:rFonts w:ascii="David" w:hAnsi="David" w:cs="David"/>
          <w:sz w:val="24"/>
          <w:szCs w:val="24"/>
          <w:rtl/>
        </w:rPr>
        <w:t>ראו</w:t>
      </w:r>
      <w:r>
        <w:rPr>
          <w:rFonts w:ascii="David" w:hAnsi="David" w:cs="David" w:hint="cs"/>
          <w:sz w:val="24"/>
          <w:szCs w:val="24"/>
          <w:rtl/>
        </w:rPr>
        <w:t xml:space="preserve"> גם</w:t>
      </w:r>
      <w:r w:rsidRPr="00E259D2">
        <w:rPr>
          <w:rFonts w:ascii="David" w:hAnsi="David" w:cs="David"/>
          <w:sz w:val="24"/>
          <w:szCs w:val="24"/>
          <w:rtl/>
        </w:rPr>
        <w:t xml:space="preserve">, </w:t>
      </w:r>
      <w:r w:rsidRPr="00E259D2">
        <w:rPr>
          <w:rFonts w:ascii="David" w:hAnsi="David" w:cs="David"/>
          <w:color w:val="000000"/>
          <w:sz w:val="24"/>
          <w:szCs w:val="24"/>
          <w:rtl/>
        </w:rPr>
        <w:t xml:space="preserve">רע"א 8138/07 </w:t>
      </w:r>
      <w:r w:rsidRPr="00E259D2">
        <w:rPr>
          <w:rFonts w:ascii="David" w:hAnsi="David" w:cs="David"/>
          <w:b/>
          <w:bCs/>
          <w:color w:val="000000"/>
          <w:sz w:val="24"/>
          <w:szCs w:val="24"/>
          <w:rtl/>
        </w:rPr>
        <w:t>פאר נ' קצין התגמולים משרד הביטחון</w:t>
      </w:r>
      <w:r w:rsidRPr="00E259D2">
        <w:rPr>
          <w:rFonts w:ascii="David" w:hAnsi="David" w:cs="David"/>
          <w:color w:val="000000"/>
          <w:sz w:val="24"/>
          <w:szCs w:val="24"/>
          <w:rtl/>
        </w:rPr>
        <w:t xml:space="preserve"> (21.6.2011), פיסקאות 13-11</w:t>
      </w:r>
      <w:r>
        <w:rPr>
          <w:rFonts w:ascii="David" w:hAnsi="David" w:cs="David" w:hint="cs"/>
          <w:sz w:val="24"/>
          <w:szCs w:val="24"/>
          <w:rtl/>
        </w:rPr>
        <w:t xml:space="preserve">). עצם ההשוואה בין התנאי הצבאיים לבין החיים האזרחיים, מלמדת כי נדרש שהשירות הצבאי יתרום "דבר מה" לאירוע, ובמילים אחרות: יהיה בעל "ערך מוסף" מסוים ביחס לפגיעה. אלא שבענייננו כלל לא ניתן לדבר על קיומו של "ערך מוסף" כלשהו של השירות הצבאי ביחס להתרחשות התאונה, שהרי היא אירעה במנותק לחלוטין מהשירות וללא קשר אליו. </w:t>
      </w:r>
    </w:p>
    <w:p w:rsidR="008110BF" w:rsidRDefault="008110BF" w:rsidP="008110BF">
      <w:pPr>
        <w:pStyle w:val="ad"/>
        <w:spacing w:line="360" w:lineRule="auto"/>
        <w:jc w:val="both"/>
        <w:rPr>
          <w:rFonts w:ascii="David" w:hAnsi="David" w:cs="David"/>
          <w:sz w:val="24"/>
          <w:szCs w:val="24"/>
          <w:rtl/>
        </w:rPr>
      </w:pPr>
    </w:p>
    <w:p w:rsidR="008110BF" w:rsidRPr="0063500F" w:rsidRDefault="008110BF" w:rsidP="000B0C32">
      <w:pPr>
        <w:pStyle w:val="ad"/>
        <w:spacing w:line="360" w:lineRule="auto"/>
        <w:jc w:val="both"/>
        <w:rPr>
          <w:rFonts w:ascii="David" w:hAnsi="David" w:cs="David"/>
          <w:sz w:val="24"/>
          <w:szCs w:val="24"/>
          <w:rtl/>
        </w:rPr>
      </w:pPr>
      <w:r>
        <w:rPr>
          <w:rFonts w:ascii="David" w:hAnsi="David" w:cs="David" w:hint="cs"/>
          <w:sz w:val="24"/>
          <w:szCs w:val="24"/>
          <w:rtl/>
        </w:rPr>
        <w:t xml:space="preserve">ואם חש הקורא כי הדיון שערכנו לעיל לוקה </w:t>
      </w:r>
      <w:r w:rsidR="000B0C32">
        <w:rPr>
          <w:rFonts w:ascii="David" w:hAnsi="David" w:cs="David" w:hint="cs"/>
          <w:sz w:val="24"/>
          <w:szCs w:val="24"/>
          <w:rtl/>
        </w:rPr>
        <w:t>ב</w:t>
      </w:r>
      <w:r>
        <w:rPr>
          <w:rFonts w:ascii="David" w:hAnsi="David" w:cs="David" w:hint="cs"/>
          <w:sz w:val="24"/>
          <w:szCs w:val="24"/>
          <w:rtl/>
        </w:rPr>
        <w:t>מלאכותיות, הרי שהדבר נובע מכך שאירוע החבלה שבו מצא המנוח את מותו הינו אירוע אזרחי מובהק, המנותק לחלוטין מהשירות הצבאי; ומהקושי להחיל את המבחנים שנקבעו על סיטואציה אשר נעדרת "קצה חוט" צבאי כלשהו.</w:t>
      </w:r>
    </w:p>
    <w:p w:rsidR="008110BF" w:rsidRDefault="008110BF" w:rsidP="008110BF">
      <w:pPr>
        <w:pStyle w:val="ad"/>
        <w:spacing w:line="360" w:lineRule="auto"/>
        <w:jc w:val="both"/>
        <w:rPr>
          <w:rFonts w:ascii="David" w:hAnsi="David" w:cs="David"/>
          <w:sz w:val="24"/>
          <w:szCs w:val="24"/>
          <w:rtl/>
        </w:rPr>
      </w:pPr>
    </w:p>
    <w:p w:rsidR="008110BF" w:rsidRDefault="008110BF" w:rsidP="008110BF">
      <w:pPr>
        <w:pStyle w:val="ad"/>
        <w:numPr>
          <w:ilvl w:val="0"/>
          <w:numId w:val="1"/>
        </w:numPr>
        <w:spacing w:line="360" w:lineRule="auto"/>
        <w:jc w:val="both"/>
        <w:rPr>
          <w:rFonts w:ascii="David" w:hAnsi="David" w:cs="David"/>
          <w:sz w:val="24"/>
          <w:szCs w:val="24"/>
        </w:rPr>
      </w:pPr>
      <w:r>
        <w:rPr>
          <w:rFonts w:ascii="David" w:hAnsi="David" w:cs="David" w:hint="cs"/>
          <w:sz w:val="24"/>
          <w:szCs w:val="24"/>
          <w:rtl/>
        </w:rPr>
        <w:t>ו</w:t>
      </w:r>
      <w:r w:rsidRPr="002B1896">
        <w:rPr>
          <w:rFonts w:ascii="David" w:hAnsi="David" w:cs="David" w:hint="cs"/>
          <w:sz w:val="24"/>
          <w:szCs w:val="24"/>
          <w:rtl/>
        </w:rPr>
        <w:t xml:space="preserve">מכיוון אחר: על פי ההלכה הפסוקה, גם כאשר אירוע חבלה מתרחש כשהחייל נמצא בשירות, בבסיס הצבאי עצמו - אין בכך די </w:t>
      </w:r>
      <w:r>
        <w:rPr>
          <w:rFonts w:ascii="David" w:hAnsi="David" w:cs="David" w:hint="cs"/>
          <w:sz w:val="24"/>
          <w:szCs w:val="24"/>
          <w:rtl/>
        </w:rPr>
        <w:t>על מנת</w:t>
      </w:r>
      <w:r w:rsidRPr="002B1896">
        <w:rPr>
          <w:rFonts w:ascii="David" w:hAnsi="David" w:cs="David" w:hint="cs"/>
          <w:sz w:val="24"/>
          <w:szCs w:val="24"/>
          <w:rtl/>
        </w:rPr>
        <w:t xml:space="preserve"> להוביל למסקנה שהאירוע התרחש "עקב השירות". נדרש </w:t>
      </w:r>
      <w:r w:rsidRPr="002B1896">
        <w:rPr>
          <w:rFonts w:ascii="David" w:hAnsi="David" w:cs="David" w:hint="cs"/>
          <w:b/>
          <w:bCs/>
          <w:sz w:val="24"/>
          <w:szCs w:val="24"/>
          <w:rtl/>
        </w:rPr>
        <w:t>דבר מה נוסף - "זיקה נוספת בין החבלה לבין השירות</w:t>
      </w:r>
      <w:r w:rsidRPr="00730CF2">
        <w:rPr>
          <w:rFonts w:ascii="David" w:hAnsi="David" w:cs="David" w:hint="cs"/>
          <w:b/>
          <w:bCs/>
          <w:sz w:val="24"/>
          <w:szCs w:val="24"/>
          <w:rtl/>
        </w:rPr>
        <w:t>"</w:t>
      </w:r>
      <w:r w:rsidRPr="00730CF2">
        <w:rPr>
          <w:rFonts w:ascii="David" w:hAnsi="David" w:cs="David" w:hint="cs"/>
          <w:sz w:val="24"/>
          <w:szCs w:val="24"/>
          <w:rtl/>
        </w:rPr>
        <w:t xml:space="preserve"> (ע"א (מח' י-ם) 4221/03 </w:t>
      </w:r>
      <w:r w:rsidRPr="00730CF2">
        <w:rPr>
          <w:rFonts w:ascii="David" w:hAnsi="David" w:cs="David" w:hint="cs"/>
          <w:b/>
          <w:bCs/>
          <w:sz w:val="24"/>
          <w:szCs w:val="24"/>
          <w:rtl/>
        </w:rPr>
        <w:t>גרין נ' קצין התגמולים - משרד הביטחון</w:t>
      </w:r>
      <w:r w:rsidRPr="00730CF2">
        <w:rPr>
          <w:rFonts w:ascii="David" w:hAnsi="David" w:cs="David" w:hint="cs"/>
          <w:sz w:val="24"/>
          <w:szCs w:val="24"/>
          <w:rtl/>
        </w:rPr>
        <w:t xml:space="preserve"> (16.9.2003); ע"נ 10149-09</w:t>
      </w:r>
      <w:r w:rsidRPr="002B1896">
        <w:rPr>
          <w:rFonts w:ascii="David" w:hAnsi="David" w:cs="David" w:hint="cs"/>
          <w:sz w:val="24"/>
          <w:szCs w:val="24"/>
          <w:rtl/>
        </w:rPr>
        <w:t xml:space="preserve">-16 </w:t>
      </w:r>
      <w:r w:rsidRPr="002B1896">
        <w:rPr>
          <w:rFonts w:ascii="David" w:hAnsi="David" w:cs="David" w:hint="cs"/>
          <w:b/>
          <w:bCs/>
          <w:sz w:val="24"/>
          <w:szCs w:val="24"/>
          <w:rtl/>
        </w:rPr>
        <w:t>פלונית נ' קצין התגמולים - משרד הביטחון - אגף השיקום</w:t>
      </w:r>
      <w:r w:rsidRPr="002B1896">
        <w:rPr>
          <w:rFonts w:ascii="David" w:hAnsi="David" w:cs="David" w:hint="cs"/>
          <w:sz w:val="24"/>
          <w:szCs w:val="24"/>
          <w:rtl/>
        </w:rPr>
        <w:t xml:space="preserve"> (16.12.2019) (להלן: פרשת </w:t>
      </w:r>
      <w:r w:rsidRPr="002B1896">
        <w:rPr>
          <w:rFonts w:ascii="David" w:hAnsi="David" w:cs="David" w:hint="cs"/>
          <w:b/>
          <w:bCs/>
          <w:sz w:val="24"/>
          <w:szCs w:val="24"/>
          <w:rtl/>
        </w:rPr>
        <w:t>פלונית</w:t>
      </w:r>
      <w:r w:rsidRPr="002B1896">
        <w:rPr>
          <w:rFonts w:ascii="David" w:hAnsi="David" w:cs="David" w:hint="cs"/>
          <w:sz w:val="24"/>
          <w:szCs w:val="24"/>
          <w:rtl/>
        </w:rPr>
        <w:t>), פיסקה 8)). כך למשל, נקבע כי אירוע שבו חיילת נחבלה כאשר שהתה בבסיס והדגי</w:t>
      </w:r>
      <w:r>
        <w:rPr>
          <w:rFonts w:ascii="David" w:hAnsi="David" w:cs="David" w:hint="cs"/>
          <w:sz w:val="24"/>
          <w:szCs w:val="24"/>
          <w:rtl/>
        </w:rPr>
        <w:t>מ</w:t>
      </w:r>
      <w:r w:rsidRPr="002B1896">
        <w:rPr>
          <w:rFonts w:ascii="David" w:hAnsi="David" w:cs="David" w:hint="cs"/>
          <w:sz w:val="24"/>
          <w:szCs w:val="24"/>
          <w:rtl/>
        </w:rPr>
        <w:t xml:space="preserve">ה לחברותיה את כישוריה בתחום הריקוד </w:t>
      </w:r>
      <w:r>
        <w:rPr>
          <w:rFonts w:ascii="David" w:hAnsi="David" w:cs="David" w:hint="cs"/>
          <w:sz w:val="24"/>
          <w:szCs w:val="24"/>
          <w:rtl/>
        </w:rPr>
        <w:t>-</w:t>
      </w:r>
      <w:r w:rsidRPr="002B1896">
        <w:rPr>
          <w:rFonts w:ascii="David" w:hAnsi="David" w:cs="David" w:hint="cs"/>
          <w:sz w:val="24"/>
          <w:szCs w:val="24"/>
          <w:rtl/>
        </w:rPr>
        <w:t xml:space="preserve"> אינו נחשב אירוע שהתרחש "עקב השירות", וזאת בשים לב כך ש"[...] הפעולה האקטיבית שביצעה המערערת הייתה אישית, וולונטרית, שאין לה דבר עם צרכי השירות או עם הסיכונים הטבעיים והסבירים הנובעים מעצם ההימצאות בבסיס [...]" (פרשת </w:t>
      </w:r>
      <w:r w:rsidRPr="002B1896">
        <w:rPr>
          <w:rFonts w:ascii="David" w:hAnsi="David" w:cs="David" w:hint="cs"/>
          <w:b/>
          <w:bCs/>
          <w:sz w:val="24"/>
          <w:szCs w:val="24"/>
          <w:rtl/>
        </w:rPr>
        <w:t>פלונית</w:t>
      </w:r>
      <w:r w:rsidRPr="002B1896">
        <w:rPr>
          <w:rFonts w:ascii="David" w:hAnsi="David" w:cs="David" w:hint="cs"/>
          <w:sz w:val="24"/>
          <w:szCs w:val="24"/>
          <w:rtl/>
        </w:rPr>
        <w:t>, פיסקה 9</w:t>
      </w:r>
      <w:r>
        <w:rPr>
          <w:rFonts w:ascii="David" w:hAnsi="David" w:cs="David" w:hint="cs"/>
          <w:sz w:val="24"/>
          <w:szCs w:val="24"/>
          <w:rtl/>
        </w:rPr>
        <w:t>. וראו גם את הדוגמאות הנוספות הנזכרות בפיסקה 10 לפסק הדין</w:t>
      </w:r>
      <w:r w:rsidRPr="002B1896">
        <w:rPr>
          <w:rFonts w:ascii="David" w:hAnsi="David" w:cs="David" w:hint="cs"/>
          <w:sz w:val="24"/>
          <w:szCs w:val="24"/>
          <w:rtl/>
        </w:rPr>
        <w:t xml:space="preserve">). וכך למשל, נקבע כי אירוע שבו סוהר </w:t>
      </w:r>
      <w:r>
        <w:rPr>
          <w:rFonts w:ascii="David" w:hAnsi="David" w:cs="David" w:hint="cs"/>
          <w:sz w:val="24"/>
          <w:szCs w:val="24"/>
          <w:rtl/>
        </w:rPr>
        <w:t xml:space="preserve">נפגע אגב </w:t>
      </w:r>
      <w:r w:rsidRPr="002B1896">
        <w:rPr>
          <w:rFonts w:ascii="David" w:hAnsi="David" w:cs="David" w:hint="cs"/>
          <w:sz w:val="24"/>
          <w:szCs w:val="24"/>
          <w:rtl/>
        </w:rPr>
        <w:t>ר</w:t>
      </w:r>
      <w:r>
        <w:rPr>
          <w:rFonts w:ascii="David" w:hAnsi="David" w:cs="David" w:hint="cs"/>
          <w:sz w:val="24"/>
          <w:szCs w:val="24"/>
          <w:rtl/>
        </w:rPr>
        <w:t xml:space="preserve">יצה </w:t>
      </w:r>
      <w:r w:rsidRPr="002B1896">
        <w:rPr>
          <w:rFonts w:ascii="David" w:hAnsi="David" w:cs="David" w:hint="cs"/>
          <w:sz w:val="24"/>
          <w:szCs w:val="24"/>
          <w:rtl/>
        </w:rPr>
        <w:t>בשטח בית הסוהר</w:t>
      </w:r>
      <w:r>
        <w:rPr>
          <w:rFonts w:ascii="David" w:hAnsi="David" w:cs="David" w:hint="cs"/>
          <w:sz w:val="24"/>
          <w:szCs w:val="24"/>
          <w:rtl/>
        </w:rPr>
        <w:t xml:space="preserve"> </w:t>
      </w:r>
      <w:r w:rsidRPr="002B1896">
        <w:rPr>
          <w:rFonts w:ascii="David" w:hAnsi="David" w:cs="David" w:hint="cs"/>
          <w:sz w:val="24"/>
          <w:szCs w:val="24"/>
          <w:rtl/>
        </w:rPr>
        <w:t>שלא במהלך אימון, תרגיל או משימה שהוטלה על</w:t>
      </w:r>
      <w:r>
        <w:rPr>
          <w:rFonts w:ascii="David" w:hAnsi="David" w:cs="David" w:hint="cs"/>
          <w:sz w:val="24"/>
          <w:szCs w:val="24"/>
          <w:rtl/>
        </w:rPr>
        <w:t>יו</w:t>
      </w:r>
      <w:r w:rsidRPr="002B1896">
        <w:rPr>
          <w:rFonts w:ascii="David" w:hAnsi="David" w:cs="David" w:hint="cs"/>
          <w:sz w:val="24"/>
          <w:szCs w:val="24"/>
          <w:rtl/>
        </w:rPr>
        <w:t xml:space="preserve"> </w:t>
      </w:r>
      <w:r>
        <w:rPr>
          <w:rFonts w:ascii="David" w:hAnsi="David" w:cs="David" w:hint="cs"/>
          <w:sz w:val="24"/>
          <w:szCs w:val="24"/>
          <w:rtl/>
        </w:rPr>
        <w:t>-</w:t>
      </w:r>
      <w:r w:rsidRPr="002B1896">
        <w:rPr>
          <w:rFonts w:ascii="David" w:hAnsi="David" w:cs="David" w:hint="cs"/>
          <w:sz w:val="24"/>
          <w:szCs w:val="24"/>
          <w:rtl/>
        </w:rPr>
        <w:t xml:space="preserve"> אינ</w:t>
      </w:r>
      <w:r>
        <w:rPr>
          <w:rFonts w:ascii="David" w:hAnsi="David" w:cs="David" w:hint="cs"/>
          <w:sz w:val="24"/>
          <w:szCs w:val="24"/>
          <w:rtl/>
        </w:rPr>
        <w:t>ו מקיים את דרישת הקשר הסיבתי המשפטי, וזאת בהיעדר כל ייחודיות הקשורה לשירותו ובשים לב לכך שאותה פגיעה בדיוק הייתה יכולה להתרחש מחוץ לשירות</w:t>
      </w:r>
      <w:r w:rsidRPr="002B1896">
        <w:rPr>
          <w:rFonts w:ascii="David" w:hAnsi="David" w:cs="David" w:hint="cs"/>
          <w:sz w:val="24"/>
          <w:szCs w:val="24"/>
          <w:rtl/>
        </w:rPr>
        <w:t xml:space="preserve"> (ע"נ 5454-12-18 </w:t>
      </w:r>
      <w:r w:rsidRPr="002B1896">
        <w:rPr>
          <w:rFonts w:ascii="David" w:hAnsi="David" w:cs="David" w:hint="cs"/>
          <w:b/>
          <w:bCs/>
          <w:sz w:val="24"/>
          <w:szCs w:val="24"/>
          <w:rtl/>
        </w:rPr>
        <w:t>פלוני נ' קצין התגמולים - משרד הביטחון - אגף השיקום (</w:t>
      </w:r>
      <w:r w:rsidRPr="002B1896">
        <w:rPr>
          <w:rFonts w:ascii="David" w:hAnsi="David" w:cs="David" w:hint="cs"/>
          <w:sz w:val="24"/>
          <w:szCs w:val="24"/>
          <w:rtl/>
        </w:rPr>
        <w:t>28.11.2019))</w:t>
      </w:r>
      <w:r>
        <w:rPr>
          <w:rFonts w:ascii="David" w:hAnsi="David" w:cs="David" w:hint="cs"/>
          <w:sz w:val="24"/>
          <w:szCs w:val="24"/>
          <w:rtl/>
        </w:rPr>
        <w:t xml:space="preserve">. </w:t>
      </w:r>
    </w:p>
    <w:p w:rsidR="008110BF" w:rsidRDefault="008110BF" w:rsidP="008110BF">
      <w:pPr>
        <w:pStyle w:val="ad"/>
        <w:spacing w:line="360" w:lineRule="auto"/>
        <w:jc w:val="both"/>
        <w:rPr>
          <w:rFonts w:ascii="David" w:hAnsi="David" w:cs="David"/>
          <w:sz w:val="24"/>
          <w:szCs w:val="24"/>
          <w:rtl/>
        </w:rPr>
      </w:pPr>
    </w:p>
    <w:p w:rsidR="008110BF" w:rsidRDefault="008110BF" w:rsidP="008110BF">
      <w:pPr>
        <w:pStyle w:val="ad"/>
        <w:spacing w:line="360" w:lineRule="auto"/>
        <w:jc w:val="both"/>
        <w:rPr>
          <w:rFonts w:ascii="David" w:hAnsi="David" w:cs="David"/>
          <w:sz w:val="24"/>
          <w:szCs w:val="24"/>
          <w:rtl/>
        </w:rPr>
      </w:pPr>
      <w:r>
        <w:rPr>
          <w:rFonts w:ascii="David" w:hAnsi="David" w:cs="David" w:hint="cs"/>
          <w:sz w:val="24"/>
          <w:szCs w:val="24"/>
          <w:rtl/>
        </w:rPr>
        <w:t xml:space="preserve">הדברים האמורים ממחישים ומבהירים, מכוח קל וחומר, עד כמה המקרה שלפנינו רחוק מקיום התנאי בדבר קשר סיבתי משפטי (שהוא כאמור רכיב הכרחי על מנת לקבוע כי החבלה התרחשה "עקב השירות"). שהרי, אם חבלה המתרחשת בזמן השירות ובבסיס הצבאי, אינה נחשבת ככזו אשר אירעה "עקב השירות", מן הטעם שאירעה אגב פעילות שאינה קשורה לתפקיד הצבאי ולצרכי השירות </w:t>
      </w:r>
      <w:r>
        <w:rPr>
          <w:rFonts w:ascii="David" w:hAnsi="David" w:cs="David"/>
          <w:sz w:val="24"/>
          <w:szCs w:val="24"/>
          <w:rtl/>
        </w:rPr>
        <w:t>–</w:t>
      </w:r>
      <w:r>
        <w:rPr>
          <w:rFonts w:ascii="David" w:hAnsi="David" w:cs="David" w:hint="cs"/>
          <w:sz w:val="24"/>
          <w:szCs w:val="24"/>
          <w:rtl/>
        </w:rPr>
        <w:t xml:space="preserve"> הרי שעל אחת כמה וכמה שחבלה המתרחשת במיקום אזרחי, בנסיבות אזרחיות, כאשר המנוח נמצא בבית העסק של אביו ואינו מצוי בשירות משך פרק זמן של כמעט חודשיים, לא ייחשב כחבלה אשר אירעה "עקב השירות". </w:t>
      </w:r>
    </w:p>
    <w:p w:rsidR="008110BF" w:rsidRDefault="008110BF" w:rsidP="008110BF">
      <w:pPr>
        <w:pStyle w:val="ad"/>
        <w:spacing w:line="360" w:lineRule="auto"/>
        <w:jc w:val="both"/>
        <w:rPr>
          <w:rFonts w:ascii="David" w:hAnsi="David" w:cs="David"/>
          <w:sz w:val="24"/>
          <w:szCs w:val="24"/>
          <w:rtl/>
        </w:rPr>
      </w:pPr>
    </w:p>
    <w:p w:rsidR="008110BF" w:rsidRDefault="008110BF" w:rsidP="008110BF">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טרם סיום פרק זה, נוסיף ונזכיר גם את פסק הדין שניתן </w:t>
      </w:r>
      <w:r w:rsidRPr="00730CF2">
        <w:rPr>
          <w:rFonts w:ascii="David" w:hAnsi="David" w:cs="David"/>
          <w:sz w:val="24"/>
          <w:szCs w:val="24"/>
          <w:rtl/>
        </w:rPr>
        <w:t xml:space="preserve">ברע"א </w:t>
      </w:r>
      <w:r w:rsidRPr="00730CF2">
        <w:rPr>
          <w:rFonts w:ascii="David" w:hAnsi="David" w:cs="David"/>
          <w:color w:val="000000"/>
          <w:sz w:val="24"/>
          <w:szCs w:val="24"/>
          <w:rtl/>
        </w:rPr>
        <w:t xml:space="preserve">4241/07 </w:t>
      </w:r>
      <w:r w:rsidRPr="00730CF2">
        <w:rPr>
          <w:rFonts w:ascii="David" w:hAnsi="David" w:cs="David"/>
          <w:b/>
          <w:bCs/>
          <w:color w:val="000000"/>
          <w:sz w:val="24"/>
          <w:szCs w:val="24"/>
          <w:rtl/>
        </w:rPr>
        <w:t>נחמני נ' קצין התגמולים-משרד הביטחון</w:t>
      </w:r>
      <w:r>
        <w:rPr>
          <w:rFonts w:ascii="David" w:hAnsi="David" w:cs="David" w:hint="cs"/>
          <w:sz w:val="24"/>
          <w:szCs w:val="24"/>
          <w:rtl/>
        </w:rPr>
        <w:t xml:space="preserve"> (9.2.2008). בפסק דין זה קבע בית המשפט העליון כי חבלה אשר אירעה לחייל (בשירות קבע) עת השתתף במשחק קט-רגל, במסגרת פרטית ומחוץ לשעות הפעילות הצבאית - אינה מהווה חבלה אשר אירעה "עקב השירות", וזאת חרף טענת החייל כי מטרת המשחק הייתה להתכונן ל"בוחן בר אור" שאמור היה להתקיים ביחידתו. וכך נפסק:</w:t>
      </w:r>
    </w:p>
    <w:p w:rsidR="008110BF" w:rsidRDefault="008110BF" w:rsidP="008110BF">
      <w:pPr>
        <w:pStyle w:val="ad"/>
        <w:spacing w:line="360" w:lineRule="auto"/>
        <w:jc w:val="both"/>
        <w:rPr>
          <w:rFonts w:ascii="David" w:hAnsi="David" w:cs="David"/>
          <w:sz w:val="24"/>
          <w:szCs w:val="24"/>
        </w:rPr>
      </w:pPr>
    </w:p>
    <w:p w:rsidR="008110BF" w:rsidRPr="00730CF2" w:rsidRDefault="008110BF" w:rsidP="008110BF">
      <w:pPr>
        <w:pStyle w:val="ad"/>
        <w:spacing w:line="240" w:lineRule="auto"/>
        <w:ind w:left="1361" w:right="1134"/>
        <w:jc w:val="both"/>
        <w:rPr>
          <w:rFonts w:ascii="David" w:hAnsi="David" w:cs="David"/>
          <w:i/>
          <w:iCs/>
          <w:sz w:val="24"/>
          <w:szCs w:val="24"/>
          <w:rtl/>
        </w:rPr>
      </w:pPr>
      <w:r>
        <w:rPr>
          <w:rFonts w:ascii="David" w:hAnsi="David" w:cs="David" w:hint="cs"/>
          <w:i/>
          <w:iCs/>
          <w:sz w:val="24"/>
          <w:szCs w:val="24"/>
          <w:rtl/>
        </w:rPr>
        <w:t>"</w:t>
      </w:r>
      <w:r w:rsidRPr="00730CF2">
        <w:rPr>
          <w:rFonts w:ascii="David" w:hAnsi="David" w:cs="David"/>
          <w:i/>
          <w:iCs/>
          <w:sz w:val="24"/>
          <w:szCs w:val="24"/>
          <w:rtl/>
        </w:rPr>
        <w:t xml:space="preserve">אכן ההלכה שיצאה מפי בית משפט זה היא כי </w:t>
      </w:r>
      <w:r w:rsidRPr="00730CF2">
        <w:rPr>
          <w:rFonts w:ascii="David" w:hAnsi="David" w:cs="David"/>
          <w:b/>
          <w:bCs/>
          <w:i/>
          <w:iCs/>
          <w:sz w:val="24"/>
          <w:szCs w:val="24"/>
          <w:rtl/>
        </w:rPr>
        <w:t>ניתן להכיר בקשר בין פגיעה לבין השירות בצה"ל, גם כאשר הפגיעה התרחשה עת שהה החייל בחופשה, אך זאת רק בתנאי שהפגיעה התרחשה כתוצאה ממעשה שנועד לקדם את מטרותיו של צה"ל – ככזה, או שהפעולה הספציפית נתבקשה מהחייל אם במפורש ואם במשתמע מנסיבות שהתהוו</w:t>
      </w:r>
      <w:r w:rsidRPr="00730CF2">
        <w:rPr>
          <w:rFonts w:ascii="David" w:hAnsi="David" w:cs="David"/>
          <w:i/>
          <w:iCs/>
          <w:sz w:val="24"/>
          <w:szCs w:val="24"/>
          <w:rtl/>
        </w:rPr>
        <w:t xml:space="preserve"> (עיינו, למשל: ר"ע 507/82 </w:t>
      </w:r>
      <w:r w:rsidRPr="00730CF2">
        <w:rPr>
          <w:rFonts w:ascii="Miriam" w:hAnsi="Miriam" w:cs="Miriam"/>
          <w:i/>
          <w:iCs/>
          <w:sz w:val="24"/>
          <w:szCs w:val="24"/>
          <w:rtl/>
        </w:rPr>
        <w:t>אבו רוקון נ' קצין התגמולים</w:t>
      </w:r>
      <w:r w:rsidRPr="00730CF2">
        <w:rPr>
          <w:rFonts w:ascii="David" w:hAnsi="David" w:cs="David"/>
          <w:i/>
          <w:iCs/>
          <w:sz w:val="24"/>
          <w:szCs w:val="24"/>
          <w:rtl/>
        </w:rPr>
        <w:t>, פ"ד לז(4), 212, 215 שיש בו דמיון מסוים לטענות שבפנינו). השאלות אותן יש לבחון הינן איפוא האם פעילותו של המבקש נועדה לקדם אינטרס של הצבא, והאם הפעילות הגופנית של המבקש הגיעה כתוצאה ממילוי אחר המלצה ספציפית של המפקד, או אז היא מהווה ביטוי למילוי תפקידו. לשיטתי, התשובה על שאלות אלה כאן הינה בשלילה. המבקש</w:t>
      </w:r>
      <w:r w:rsidRPr="00730CF2">
        <w:rPr>
          <w:rFonts w:ascii="David" w:hAnsi="David" w:cs="David" w:hint="cs"/>
          <w:i/>
          <w:iCs/>
          <w:sz w:val="24"/>
          <w:szCs w:val="24"/>
          <w:rtl/>
        </w:rPr>
        <w:t xml:space="preserve"> </w:t>
      </w:r>
      <w:r w:rsidRPr="00730CF2">
        <w:rPr>
          <w:rFonts w:ascii="David" w:hAnsi="David" w:cs="David"/>
          <w:i/>
          <w:iCs/>
          <w:sz w:val="24"/>
          <w:szCs w:val="24"/>
          <w:rtl/>
        </w:rPr>
        <w:t>פעל מיוזמתו, כאשר בחר להצטרף, בזמנו הפנוי, למסגרת פרטית של משחק קט-רגל. בענייננו לא ניתן לומר כי השתתפותו של המבקש במשחק  קידמה, או נועדה לקדם – ככזו – אינטרס ישיר של צה"ל. ודוק, ייתכן והיתה צפויה לצה"ל תועלת עקיפה כלשהי משיפור כושרו הגופני של המבקש ובהחלט ייתכן שמשחק הקט-רגל היה תורם לשיפור תוצאת מבחן הבר-אור של המבקש, אך גם אם כך הדבר (ואין הדבר נקי מספקות), הרי שמכאן ועד להוכחת קשר סיבתי בין הפציעה לבין השירות הצבאי – הדרך עודנה ארוכה</w:t>
      </w:r>
      <w:r>
        <w:rPr>
          <w:rFonts w:ascii="David" w:hAnsi="David" w:cs="David" w:hint="cs"/>
          <w:i/>
          <w:iCs/>
          <w:sz w:val="24"/>
          <w:szCs w:val="24"/>
          <w:rtl/>
        </w:rPr>
        <w:t xml:space="preserve">" </w:t>
      </w:r>
      <w:r w:rsidRPr="00730CF2">
        <w:rPr>
          <w:rFonts w:ascii="David" w:hAnsi="David" w:cs="David" w:hint="cs"/>
          <w:sz w:val="24"/>
          <w:szCs w:val="24"/>
          <w:rtl/>
        </w:rPr>
        <w:t>(פיסקה 7 לפסק הדין)</w:t>
      </w:r>
      <w:r w:rsidRPr="00730CF2">
        <w:rPr>
          <w:rFonts w:ascii="David" w:hAnsi="David" w:cs="David"/>
          <w:sz w:val="24"/>
          <w:szCs w:val="24"/>
          <w:rtl/>
        </w:rPr>
        <w:t>. </w:t>
      </w:r>
    </w:p>
    <w:p w:rsidR="008110BF" w:rsidRDefault="008110BF" w:rsidP="008110BF">
      <w:pPr>
        <w:pStyle w:val="ad"/>
        <w:spacing w:line="360" w:lineRule="auto"/>
        <w:jc w:val="both"/>
        <w:rPr>
          <w:rFonts w:ascii="David" w:hAnsi="David" w:cs="David"/>
          <w:sz w:val="24"/>
          <w:szCs w:val="24"/>
          <w:rtl/>
        </w:rPr>
      </w:pPr>
    </w:p>
    <w:p w:rsidR="008110BF" w:rsidRDefault="008110BF" w:rsidP="008110BF">
      <w:pPr>
        <w:pStyle w:val="ad"/>
        <w:spacing w:line="360" w:lineRule="auto"/>
        <w:jc w:val="both"/>
        <w:rPr>
          <w:rFonts w:ascii="David" w:hAnsi="David" w:cs="David"/>
          <w:sz w:val="24"/>
          <w:szCs w:val="24"/>
          <w:rtl/>
        </w:rPr>
      </w:pPr>
      <w:r>
        <w:rPr>
          <w:rFonts w:ascii="David" w:hAnsi="David" w:cs="David" w:hint="cs"/>
          <w:sz w:val="24"/>
          <w:szCs w:val="24"/>
          <w:rtl/>
        </w:rPr>
        <w:t xml:space="preserve">גם פסק דין זה מלמד, מכוח קל וחומר, כי התנאי שעניינו "עקב השירות" אינו מתקיים בענייננו. אכן, בענייננו אין (ולא יכולה להיות) כל טענה בדבר קיומה של תועלת כלשהי לצבא כתוצאה מן הפעילות שבצע המנוח בבית העסק של אביו שעה שאירעה התאונה; מה גם שהתאונה לא ארעה מחוץ לשעות הפעילות הצבאית, אלא שעה שהמנוח נעדר מהשירות (שלא ברשות) משך תקופה של קרוב לחודשיים ימים.   </w:t>
      </w:r>
    </w:p>
    <w:p w:rsidR="008110BF" w:rsidRDefault="008110BF" w:rsidP="008110BF">
      <w:pPr>
        <w:pStyle w:val="ad"/>
        <w:tabs>
          <w:tab w:val="left" w:pos="1719"/>
        </w:tabs>
        <w:spacing w:line="360" w:lineRule="auto"/>
        <w:jc w:val="both"/>
        <w:rPr>
          <w:rFonts w:ascii="David" w:hAnsi="David" w:cs="David"/>
          <w:sz w:val="24"/>
          <w:szCs w:val="24"/>
          <w:rtl/>
        </w:rPr>
      </w:pPr>
      <w:r>
        <w:rPr>
          <w:rFonts w:ascii="David" w:hAnsi="David" w:cs="David"/>
          <w:sz w:val="24"/>
          <w:szCs w:val="24"/>
          <w:rtl/>
        </w:rPr>
        <w:tab/>
      </w:r>
    </w:p>
    <w:p w:rsidR="008110BF" w:rsidRPr="007753E4" w:rsidRDefault="008110BF" w:rsidP="008110BF">
      <w:pPr>
        <w:pStyle w:val="ad"/>
        <w:numPr>
          <w:ilvl w:val="0"/>
          <w:numId w:val="1"/>
        </w:numPr>
        <w:tabs>
          <w:tab w:val="left" w:pos="2868"/>
        </w:tabs>
        <w:spacing w:line="360" w:lineRule="auto"/>
        <w:jc w:val="both"/>
        <w:rPr>
          <w:rFonts w:ascii="David" w:hAnsi="David" w:cs="David"/>
          <w:sz w:val="24"/>
          <w:szCs w:val="24"/>
          <w:rtl/>
        </w:rPr>
      </w:pPr>
      <w:r>
        <w:rPr>
          <w:rFonts w:ascii="David" w:hAnsi="David" w:cs="David" w:hint="cs"/>
          <w:sz w:val="24"/>
          <w:szCs w:val="24"/>
          <w:rtl/>
        </w:rPr>
        <w:t xml:space="preserve">הנה כי כן, תנאי הזכאות הקבועים בחוק משפחות חיילים אינם מתקיימים בענייננו. משכך; ובשים לב לעובדה שחבלת המנוח אשר הובילה לפטירתו לא אירעה "בתקופת השירות" - נמשיך ונתייחס לתנאי הזכאות הקבועים בחוק חבלה שלא בעת מילוי תפקיד (כפי שעשה גם המשיב במסגרת ההחלטה מושא הערעור). כפי שנראה מיד, גם תנאי זכאות אלה אינם מתקיימים במקרה שלפנינו.   </w:t>
      </w:r>
      <w:r w:rsidRPr="007753E4">
        <w:rPr>
          <w:rFonts w:ascii="David" w:hAnsi="David" w:cs="David" w:hint="cs"/>
          <w:sz w:val="24"/>
          <w:szCs w:val="24"/>
          <w:rtl/>
        </w:rPr>
        <w:t xml:space="preserve"> </w:t>
      </w:r>
    </w:p>
    <w:p w:rsidR="008110BF" w:rsidRDefault="008110BF" w:rsidP="008110BF">
      <w:pPr>
        <w:tabs>
          <w:tab w:val="left" w:pos="2868"/>
        </w:tabs>
        <w:spacing w:line="360" w:lineRule="auto"/>
        <w:jc w:val="both"/>
        <w:rPr>
          <w:rFonts w:ascii="David" w:hAnsi="David"/>
          <w:b/>
          <w:bCs/>
          <w:u w:val="single"/>
          <w:rtl/>
        </w:rPr>
      </w:pPr>
    </w:p>
    <w:p w:rsidR="008110BF" w:rsidRPr="0081558A" w:rsidRDefault="008110BF" w:rsidP="008110BF">
      <w:pPr>
        <w:tabs>
          <w:tab w:val="left" w:pos="2868"/>
        </w:tabs>
        <w:spacing w:line="360" w:lineRule="auto"/>
        <w:jc w:val="both"/>
        <w:rPr>
          <w:rFonts w:ascii="David" w:hAnsi="David"/>
          <w:b/>
          <w:bCs/>
          <w:u w:val="single"/>
          <w:rtl/>
        </w:rPr>
      </w:pPr>
      <w:r>
        <w:rPr>
          <w:rFonts w:ascii="David" w:hAnsi="David" w:hint="cs"/>
          <w:b/>
          <w:bCs/>
          <w:u w:val="single"/>
          <w:rtl/>
        </w:rPr>
        <w:t xml:space="preserve">גם </w:t>
      </w:r>
      <w:r w:rsidRPr="0081558A">
        <w:rPr>
          <w:rFonts w:ascii="David" w:hAnsi="David" w:hint="cs"/>
          <w:b/>
          <w:bCs/>
          <w:u w:val="single"/>
          <w:rtl/>
        </w:rPr>
        <w:t xml:space="preserve">תנאי ההכרה הקבועים בחוק חבלה שלא בעת מילוי תפקיד </w:t>
      </w:r>
      <w:r>
        <w:rPr>
          <w:rFonts w:ascii="David" w:hAnsi="David" w:hint="cs"/>
          <w:b/>
          <w:bCs/>
          <w:u w:val="single"/>
          <w:rtl/>
        </w:rPr>
        <w:t xml:space="preserve">- </w:t>
      </w:r>
      <w:r w:rsidRPr="0081558A">
        <w:rPr>
          <w:rFonts w:ascii="David" w:hAnsi="David" w:hint="cs"/>
          <w:b/>
          <w:bCs/>
          <w:u w:val="single"/>
          <w:rtl/>
        </w:rPr>
        <w:t>אינם מתקיימים</w:t>
      </w:r>
    </w:p>
    <w:p w:rsidR="008110BF" w:rsidRDefault="008110BF" w:rsidP="008110BF">
      <w:pPr>
        <w:tabs>
          <w:tab w:val="left" w:pos="2868"/>
        </w:tabs>
        <w:spacing w:line="360" w:lineRule="auto"/>
        <w:jc w:val="both"/>
        <w:rPr>
          <w:rFonts w:ascii="David" w:hAnsi="David"/>
          <w:rtl/>
        </w:rPr>
      </w:pPr>
    </w:p>
    <w:p w:rsidR="008110BF" w:rsidRDefault="008110BF" w:rsidP="008110BF">
      <w:pPr>
        <w:pStyle w:val="ad"/>
        <w:numPr>
          <w:ilvl w:val="0"/>
          <w:numId w:val="1"/>
        </w:numPr>
        <w:tabs>
          <w:tab w:val="left" w:pos="2868"/>
        </w:tabs>
        <w:spacing w:line="360" w:lineRule="auto"/>
        <w:jc w:val="both"/>
        <w:rPr>
          <w:rFonts w:ascii="David" w:hAnsi="David" w:cs="David"/>
          <w:sz w:val="24"/>
          <w:szCs w:val="24"/>
        </w:rPr>
      </w:pPr>
      <w:r>
        <w:rPr>
          <w:rFonts w:ascii="David" w:hAnsi="David" w:cs="David" w:hint="cs"/>
          <w:sz w:val="24"/>
          <w:szCs w:val="24"/>
          <w:rtl/>
        </w:rPr>
        <w:t>מסגרת הדיון מצויה בהוראת סעיף 2(ב) לחוק חבלה שלא בעת מילוי תפקיד, הקובעת כך:</w:t>
      </w:r>
      <w:r w:rsidRPr="001946BC">
        <w:rPr>
          <w:rFonts w:ascii="FrankRuehl" w:hAnsi="FrankRuehl" w:cs="FrankRuehl"/>
          <w:color w:val="000000"/>
          <w:sz w:val="26"/>
          <w:szCs w:val="26"/>
        </w:rPr>
        <w:t> </w:t>
      </w:r>
      <w:r>
        <w:rPr>
          <w:rFonts w:ascii="David" w:hAnsi="David" w:cs="David" w:hint="cs"/>
          <w:sz w:val="24"/>
          <w:szCs w:val="24"/>
          <w:rtl/>
        </w:rPr>
        <w:t>"</w:t>
      </w:r>
      <w:r w:rsidRPr="001946BC">
        <w:rPr>
          <w:rFonts w:ascii="David" w:hAnsi="David" w:cs="David"/>
          <w:sz w:val="24"/>
          <w:szCs w:val="24"/>
          <w:rtl/>
        </w:rPr>
        <w:t xml:space="preserve">חוק משפחות חיילים שנספו במערכה (תגמולים ושיקום), תש"י-1950 (להלן – חוק משפחות חיילים), יחול לגבי בני משפחתו של חייל שמת כתוצאה מחבלה שנחבל מחבלה שאירעה בתקופת שירותו, אף שלא עקב שירותו, </w:t>
      </w:r>
      <w:r w:rsidRPr="001946BC">
        <w:rPr>
          <w:rFonts w:ascii="David" w:hAnsi="David" w:cs="David"/>
          <w:b/>
          <w:bCs/>
          <w:sz w:val="24"/>
          <w:szCs w:val="24"/>
          <w:rtl/>
        </w:rPr>
        <w:t>ובלבד שהתקיימו כל הנסיבות כאמור בסעיף קטן (א)(1) עד (2א) ו-(2ג) עד (2ה</w:t>
      </w:r>
      <w:r w:rsidRPr="001946BC">
        <w:rPr>
          <w:rFonts w:ascii="David" w:hAnsi="David" w:cs="David" w:hint="cs"/>
          <w:b/>
          <w:bCs/>
          <w:sz w:val="24"/>
          <w:szCs w:val="24"/>
          <w:rtl/>
        </w:rPr>
        <w:t>)</w:t>
      </w:r>
      <w:r w:rsidRPr="001946BC">
        <w:rPr>
          <w:rFonts w:ascii="David" w:hAnsi="David" w:cs="David" w:hint="cs"/>
          <w:sz w:val="24"/>
          <w:szCs w:val="24"/>
          <w:rtl/>
        </w:rPr>
        <w:t>"</w:t>
      </w:r>
      <w:r>
        <w:rPr>
          <w:rFonts w:ascii="David" w:hAnsi="David" w:cs="David" w:hint="cs"/>
          <w:sz w:val="24"/>
          <w:szCs w:val="24"/>
          <w:rtl/>
        </w:rPr>
        <w:t xml:space="preserve"> (ההדגשה שלנו. באשר לתכלית אשר הובילה לחקיקת חוק חבלה שלא בעת מילוי תפקיד ראו למשל, </w:t>
      </w:r>
      <w:r w:rsidRPr="00975544">
        <w:rPr>
          <w:rFonts w:ascii="David" w:hAnsi="David" w:cs="David"/>
          <w:sz w:val="24"/>
          <w:szCs w:val="24"/>
          <w:rtl/>
        </w:rPr>
        <w:t>רע</w:t>
      </w:r>
      <w:r>
        <w:rPr>
          <w:rFonts w:ascii="David" w:hAnsi="David" w:cs="David" w:hint="cs"/>
          <w:sz w:val="24"/>
          <w:szCs w:val="24"/>
          <w:rtl/>
        </w:rPr>
        <w:t>"</w:t>
      </w:r>
      <w:r w:rsidRPr="00975544">
        <w:rPr>
          <w:rFonts w:ascii="David" w:hAnsi="David" w:cs="David"/>
          <w:sz w:val="24"/>
          <w:szCs w:val="24"/>
          <w:rtl/>
        </w:rPr>
        <w:t>א</w:t>
      </w:r>
      <w:r w:rsidRPr="00975544">
        <w:rPr>
          <w:rFonts w:ascii="David" w:hAnsi="David" w:cs="David"/>
          <w:sz w:val="24"/>
          <w:szCs w:val="24"/>
        </w:rPr>
        <w:t xml:space="preserve">8899/07 </w:t>
      </w:r>
      <w:r w:rsidRPr="00975544">
        <w:rPr>
          <w:rFonts w:ascii="David" w:hAnsi="David" w:cs="David"/>
          <w:sz w:val="24"/>
          <w:szCs w:val="24"/>
          <w:rtl/>
        </w:rPr>
        <w:t xml:space="preserve">‏ </w:t>
      </w:r>
      <w:r w:rsidRPr="00975544">
        <w:rPr>
          <w:rFonts w:ascii="David" w:hAnsi="David" w:cs="David"/>
          <w:b/>
          <w:bCs/>
          <w:sz w:val="24"/>
          <w:szCs w:val="24"/>
          <w:rtl/>
        </w:rPr>
        <w:t>פלוני נ' קצין התגמולים</w:t>
      </w:r>
      <w:r>
        <w:rPr>
          <w:rFonts w:ascii="David" w:hAnsi="David" w:cs="David" w:hint="cs"/>
          <w:sz w:val="24"/>
          <w:szCs w:val="24"/>
          <w:rtl/>
        </w:rPr>
        <w:t xml:space="preserve"> (4.12.2008), פיסקה י"ד)</w:t>
      </w:r>
      <w:r w:rsidRPr="001946BC">
        <w:rPr>
          <w:rFonts w:ascii="David" w:hAnsi="David" w:cs="David" w:hint="cs"/>
          <w:sz w:val="24"/>
          <w:szCs w:val="24"/>
          <w:rtl/>
        </w:rPr>
        <w:t>.</w:t>
      </w:r>
    </w:p>
    <w:p w:rsidR="008110BF" w:rsidRPr="00E70638" w:rsidRDefault="008110BF" w:rsidP="008110BF">
      <w:pPr>
        <w:pStyle w:val="ad"/>
        <w:tabs>
          <w:tab w:val="left" w:pos="2868"/>
        </w:tabs>
        <w:spacing w:line="360" w:lineRule="auto"/>
        <w:jc w:val="both"/>
        <w:rPr>
          <w:rFonts w:ascii="David" w:hAnsi="David" w:cs="David"/>
          <w:sz w:val="24"/>
          <w:szCs w:val="24"/>
        </w:rPr>
      </w:pPr>
    </w:p>
    <w:p w:rsidR="008110BF" w:rsidRDefault="008110BF" w:rsidP="008110BF">
      <w:pPr>
        <w:pStyle w:val="ad"/>
        <w:numPr>
          <w:ilvl w:val="0"/>
          <w:numId w:val="1"/>
        </w:numPr>
        <w:tabs>
          <w:tab w:val="left" w:pos="2868"/>
        </w:tabs>
        <w:spacing w:line="360" w:lineRule="auto"/>
        <w:jc w:val="both"/>
        <w:rPr>
          <w:rFonts w:ascii="David" w:hAnsi="David" w:cs="David"/>
          <w:sz w:val="24"/>
          <w:szCs w:val="24"/>
        </w:rPr>
      </w:pPr>
      <w:r>
        <w:rPr>
          <w:rFonts w:ascii="David" w:hAnsi="David" w:cs="David" w:hint="cs"/>
          <w:sz w:val="24"/>
          <w:szCs w:val="24"/>
          <w:rtl/>
        </w:rPr>
        <w:t>עינינו הרואות, כי על מנת שחוק משפחות חיילים יחול ביחס לחבלה שגרמה למותו של חייל, חרף העובדה שהחבלה אירעה שלא עקב השירות - נדרש כי יתקיימו מספר תנאים מצטברים. כפי שנראה מיד, כמה מהתנאים הדרושים אינם מתקיימים בענייננו:</w:t>
      </w:r>
    </w:p>
    <w:p w:rsidR="008110BF" w:rsidRPr="001946BC" w:rsidRDefault="008110BF" w:rsidP="008110BF">
      <w:pPr>
        <w:pStyle w:val="ad"/>
        <w:rPr>
          <w:rFonts w:ascii="David" w:hAnsi="David" w:cs="David"/>
          <w:sz w:val="24"/>
          <w:szCs w:val="24"/>
          <w:rtl/>
        </w:rPr>
      </w:pPr>
    </w:p>
    <w:p w:rsidR="008110BF" w:rsidRPr="00CD1CB1" w:rsidRDefault="008110BF" w:rsidP="008110BF">
      <w:pPr>
        <w:pStyle w:val="ad"/>
        <w:numPr>
          <w:ilvl w:val="0"/>
          <w:numId w:val="2"/>
        </w:numPr>
        <w:tabs>
          <w:tab w:val="left" w:pos="2868"/>
        </w:tabs>
        <w:spacing w:line="360" w:lineRule="auto"/>
        <w:jc w:val="both"/>
        <w:rPr>
          <w:rFonts w:ascii="David" w:hAnsi="David" w:cs="David"/>
          <w:sz w:val="24"/>
          <w:szCs w:val="24"/>
        </w:rPr>
      </w:pPr>
      <w:r w:rsidRPr="001946BC">
        <w:rPr>
          <w:rFonts w:ascii="David" w:hAnsi="David" w:cs="David" w:hint="cs"/>
          <w:sz w:val="24"/>
          <w:szCs w:val="24"/>
          <w:u w:val="single"/>
          <w:rtl/>
        </w:rPr>
        <w:t xml:space="preserve">התנאי הקבוע בסעיף 2(א)(1) לחוק חבלה שלא בעת </w:t>
      </w:r>
      <w:r w:rsidRPr="00730CF2">
        <w:rPr>
          <w:rFonts w:ascii="David" w:hAnsi="David" w:cs="David" w:hint="cs"/>
          <w:sz w:val="24"/>
          <w:szCs w:val="24"/>
          <w:u w:val="single"/>
          <w:rtl/>
        </w:rPr>
        <w:t>מילוי תפקיד</w:t>
      </w:r>
      <w:r>
        <w:rPr>
          <w:rFonts w:ascii="David" w:hAnsi="David" w:cs="David" w:hint="cs"/>
          <w:sz w:val="24"/>
          <w:szCs w:val="24"/>
          <w:rtl/>
        </w:rPr>
        <w:t>: "</w:t>
      </w:r>
      <w:r w:rsidRPr="001946BC">
        <w:rPr>
          <w:rFonts w:ascii="David" w:hAnsi="David" w:cs="David"/>
          <w:sz w:val="24"/>
          <w:szCs w:val="24"/>
          <w:rtl/>
        </w:rPr>
        <w:t xml:space="preserve"> החבלה אירעה בעת שהחייל לא נעדר מן השירות שלא ברשות</w:t>
      </w:r>
      <w:r>
        <w:rPr>
          <w:rFonts w:ascii="David" w:hAnsi="David" w:cs="David" w:hint="cs"/>
          <w:sz w:val="24"/>
          <w:szCs w:val="24"/>
          <w:rtl/>
        </w:rPr>
        <w:t xml:space="preserve">". כעולה בבירור מהרקע העובדתי שפורט לעיל, בעת התרחשות התאונה המנוח נעדר מהשירות שלא ברשות (ואף הוכרז כעריק). ממילא ברור, כי תנאי זה אינו </w:t>
      </w:r>
      <w:r w:rsidRPr="00CD1CB1">
        <w:rPr>
          <w:rFonts w:ascii="David" w:hAnsi="David" w:cs="David" w:hint="cs"/>
          <w:sz w:val="24"/>
          <w:szCs w:val="24"/>
          <w:rtl/>
        </w:rPr>
        <w:t xml:space="preserve">מתקיים (ראו והשוו, </w:t>
      </w:r>
      <w:r w:rsidRPr="00CD1CB1">
        <w:rPr>
          <w:rFonts w:ascii="David" w:hAnsi="David" w:cs="David"/>
          <w:color w:val="000000"/>
          <w:sz w:val="24"/>
          <w:szCs w:val="24"/>
          <w:rtl/>
        </w:rPr>
        <w:t xml:space="preserve">ו"ע 112-04 </w:t>
      </w:r>
      <w:r w:rsidRPr="00CD1CB1">
        <w:rPr>
          <w:rFonts w:ascii="David" w:hAnsi="David" w:cs="David"/>
          <w:b/>
          <w:bCs/>
          <w:color w:val="000000"/>
          <w:sz w:val="24"/>
          <w:szCs w:val="24"/>
          <w:rtl/>
        </w:rPr>
        <w:t>בן שמעון מזל נ' משהב"ט-אגף השיקום-תגמולים</w:t>
      </w:r>
      <w:r w:rsidRPr="00CD1CB1">
        <w:rPr>
          <w:rFonts w:ascii="David" w:hAnsi="David" w:cs="David" w:hint="cs"/>
          <w:color w:val="000000"/>
          <w:sz w:val="24"/>
          <w:szCs w:val="24"/>
          <w:rtl/>
        </w:rPr>
        <w:t xml:space="preserve"> (14.11.2012) (להלן: פרשת </w:t>
      </w:r>
      <w:r w:rsidRPr="00CD1CB1">
        <w:rPr>
          <w:rFonts w:ascii="David" w:hAnsi="David" w:cs="David" w:hint="cs"/>
          <w:b/>
          <w:bCs/>
          <w:color w:val="000000"/>
          <w:sz w:val="24"/>
          <w:szCs w:val="24"/>
          <w:rtl/>
        </w:rPr>
        <w:t>בן שמעון</w:t>
      </w:r>
      <w:r w:rsidRPr="00CD1CB1">
        <w:rPr>
          <w:rFonts w:ascii="David" w:hAnsi="David" w:cs="David" w:hint="cs"/>
          <w:color w:val="000000"/>
          <w:sz w:val="24"/>
          <w:szCs w:val="24"/>
          <w:rtl/>
        </w:rPr>
        <w:t>), פיסקה 14)</w:t>
      </w:r>
      <w:r w:rsidRPr="00CD1CB1">
        <w:rPr>
          <w:rFonts w:ascii="David" w:hAnsi="David" w:cs="David" w:hint="cs"/>
          <w:sz w:val="24"/>
          <w:szCs w:val="24"/>
          <w:rtl/>
        </w:rPr>
        <w:t xml:space="preserve">. </w:t>
      </w:r>
    </w:p>
    <w:p w:rsidR="008110BF" w:rsidRDefault="008110BF" w:rsidP="008110BF">
      <w:pPr>
        <w:pStyle w:val="ad"/>
        <w:tabs>
          <w:tab w:val="left" w:pos="2868"/>
        </w:tabs>
        <w:spacing w:line="360" w:lineRule="auto"/>
        <w:ind w:left="1080"/>
        <w:jc w:val="both"/>
        <w:rPr>
          <w:rFonts w:ascii="David" w:hAnsi="David" w:cs="David"/>
          <w:sz w:val="24"/>
          <w:szCs w:val="24"/>
        </w:rPr>
      </w:pPr>
    </w:p>
    <w:p w:rsidR="008110BF" w:rsidRDefault="008110BF" w:rsidP="008110BF">
      <w:pPr>
        <w:pStyle w:val="ad"/>
        <w:numPr>
          <w:ilvl w:val="0"/>
          <w:numId w:val="2"/>
        </w:numPr>
        <w:tabs>
          <w:tab w:val="left" w:pos="2868"/>
        </w:tabs>
        <w:spacing w:line="360" w:lineRule="auto"/>
        <w:jc w:val="both"/>
        <w:rPr>
          <w:rFonts w:ascii="David" w:hAnsi="David" w:cs="David"/>
          <w:sz w:val="24"/>
          <w:szCs w:val="24"/>
        </w:rPr>
      </w:pPr>
      <w:r w:rsidRPr="001946BC">
        <w:rPr>
          <w:rFonts w:ascii="David" w:hAnsi="David" w:cs="David" w:hint="cs"/>
          <w:sz w:val="24"/>
          <w:szCs w:val="24"/>
          <w:u w:val="single"/>
          <w:rtl/>
        </w:rPr>
        <w:t>התנאי הקבוע בסעיף 2(א)(2) לחוק חבלה שלא בעת מילוי תפקיד:</w:t>
      </w:r>
      <w:r w:rsidRPr="001946BC">
        <w:rPr>
          <w:rFonts w:ascii="David" w:hAnsi="David" w:cs="David" w:hint="cs"/>
          <w:sz w:val="24"/>
          <w:szCs w:val="24"/>
          <w:rtl/>
        </w:rPr>
        <w:t xml:space="preserve"> "</w:t>
      </w:r>
      <w:r w:rsidRPr="001946BC">
        <w:rPr>
          <w:rFonts w:ascii="David" w:hAnsi="David" w:cs="David"/>
          <w:sz w:val="24"/>
          <w:szCs w:val="24"/>
          <w:rtl/>
        </w:rPr>
        <w:t>אם החבלה אירעה בעת שהחייל לא מילא תפקיד בשירות, היא אירעה תוך תקופה של 30 הימים הראשונים שבהם לא מילא תפקיד בשירות</w:t>
      </w:r>
      <w:r w:rsidRPr="001946BC">
        <w:rPr>
          <w:rFonts w:ascii="David" w:hAnsi="David" w:cs="David" w:hint="cs"/>
          <w:sz w:val="24"/>
          <w:szCs w:val="24"/>
          <w:rtl/>
        </w:rPr>
        <w:t>". בענייננו, בעת התרחשות התאונה המנוח לא מילא תפקיד בשירות משך פרק זמן של קרוב לחודשיים (מיום 28.7.20</w:t>
      </w:r>
      <w:r>
        <w:rPr>
          <w:rFonts w:ascii="David" w:hAnsi="David" w:cs="David" w:hint="cs"/>
          <w:sz w:val="24"/>
          <w:szCs w:val="24"/>
          <w:rtl/>
        </w:rPr>
        <w:t>1</w:t>
      </w:r>
      <w:r w:rsidRPr="001946BC">
        <w:rPr>
          <w:rFonts w:ascii="David" w:hAnsi="David" w:cs="David" w:hint="cs"/>
          <w:sz w:val="24"/>
          <w:szCs w:val="24"/>
          <w:rtl/>
        </w:rPr>
        <w:t>3 ועד ליום 23.9.20</w:t>
      </w:r>
      <w:r>
        <w:rPr>
          <w:rFonts w:ascii="David" w:hAnsi="David" w:cs="David" w:hint="cs"/>
          <w:sz w:val="24"/>
          <w:szCs w:val="24"/>
          <w:rtl/>
        </w:rPr>
        <w:t>1</w:t>
      </w:r>
      <w:r w:rsidRPr="001946BC">
        <w:rPr>
          <w:rFonts w:ascii="David" w:hAnsi="David" w:cs="David" w:hint="cs"/>
          <w:sz w:val="24"/>
          <w:szCs w:val="24"/>
          <w:rtl/>
        </w:rPr>
        <w:t>3). ממילא יש לקבוע כי גם תנאי זה אינו מתקיים</w:t>
      </w:r>
      <w:r>
        <w:rPr>
          <w:rFonts w:ascii="David" w:hAnsi="David" w:cs="David" w:hint="cs"/>
          <w:sz w:val="24"/>
          <w:szCs w:val="24"/>
          <w:rtl/>
        </w:rPr>
        <w:t>. נדגיש, כי לעניין תנאי זה אין רלוונטיות לנתון שלפיו המנוח נעדר מן השרות שלא ברשות. כוונתנו לכך, שגם אילו היעדרותו של המנוח מהשירות הייתה מתבצעת במסגרת חופשה ברשות - עדיין היה מקום לקבוע כי התנאי אינו מתקיים, וזאת מן הטעם שמדובר בפרק זמן העולה על 30 ימים</w:t>
      </w:r>
      <w:r w:rsidRPr="001946BC">
        <w:rPr>
          <w:rFonts w:ascii="David" w:hAnsi="David" w:cs="David" w:hint="cs"/>
          <w:sz w:val="24"/>
          <w:szCs w:val="24"/>
          <w:rtl/>
        </w:rPr>
        <w:t xml:space="preserve">. </w:t>
      </w:r>
    </w:p>
    <w:p w:rsidR="008110BF" w:rsidRPr="0027370E" w:rsidRDefault="008110BF" w:rsidP="008110BF">
      <w:pPr>
        <w:pStyle w:val="ad"/>
        <w:rPr>
          <w:rFonts w:ascii="David" w:hAnsi="David" w:cs="David"/>
          <w:sz w:val="24"/>
          <w:szCs w:val="24"/>
          <w:rtl/>
        </w:rPr>
      </w:pPr>
    </w:p>
    <w:p w:rsidR="008110BF" w:rsidRPr="00CD1CB1" w:rsidRDefault="008110BF" w:rsidP="008110BF">
      <w:pPr>
        <w:pStyle w:val="ad"/>
        <w:tabs>
          <w:tab w:val="left" w:pos="2868"/>
        </w:tabs>
        <w:spacing w:line="360" w:lineRule="auto"/>
        <w:ind w:left="1080"/>
        <w:jc w:val="both"/>
        <w:rPr>
          <w:rFonts w:ascii="David" w:hAnsi="David" w:cs="David"/>
          <w:sz w:val="24"/>
          <w:szCs w:val="24"/>
        </w:rPr>
      </w:pPr>
      <w:r w:rsidRPr="001946BC">
        <w:rPr>
          <w:rFonts w:ascii="David" w:hAnsi="David" w:cs="David" w:hint="cs"/>
          <w:sz w:val="24"/>
          <w:szCs w:val="24"/>
          <w:rtl/>
        </w:rPr>
        <w:t>ודוק: לא נעלמו מעינינו האישורים הרפואיים אשר צורפו על ידי המערערים, ואשר מה</w:t>
      </w:r>
      <w:r>
        <w:rPr>
          <w:rFonts w:ascii="David" w:hAnsi="David" w:cs="David" w:hint="cs"/>
          <w:sz w:val="24"/>
          <w:szCs w:val="24"/>
          <w:rtl/>
        </w:rPr>
        <w:t>ם</w:t>
      </w:r>
      <w:r w:rsidRPr="001946BC">
        <w:rPr>
          <w:rFonts w:ascii="David" w:hAnsi="David" w:cs="David" w:hint="cs"/>
          <w:sz w:val="24"/>
          <w:szCs w:val="24"/>
          <w:rtl/>
        </w:rPr>
        <w:t xml:space="preserve"> עולה כי במהלך פרק הזמן שבו המנוח נעדר מהשירות שלא ברשות</w:t>
      </w:r>
      <w:r>
        <w:rPr>
          <w:rFonts w:ascii="David" w:hAnsi="David" w:cs="David" w:hint="cs"/>
          <w:sz w:val="24"/>
          <w:szCs w:val="24"/>
          <w:rtl/>
        </w:rPr>
        <w:t>,</w:t>
      </w:r>
      <w:r w:rsidRPr="001946BC">
        <w:rPr>
          <w:rFonts w:ascii="David" w:hAnsi="David" w:cs="David" w:hint="cs"/>
          <w:sz w:val="24"/>
          <w:szCs w:val="24"/>
          <w:rtl/>
        </w:rPr>
        <w:t xml:space="preserve"> הוא ביקר פעמיים בבית החולים מאיר (בימים 14.8.2013 ו-22.8.2013), ובכל אח</w:t>
      </w:r>
      <w:r>
        <w:rPr>
          <w:rFonts w:ascii="David" w:hAnsi="David" w:cs="David" w:hint="cs"/>
          <w:sz w:val="24"/>
          <w:szCs w:val="24"/>
          <w:rtl/>
        </w:rPr>
        <w:t>ד מהביקורים הגורם הרפואי המליץ על שבעה ימי מנוחה (ראו עמ' 59-53 לסיכומי המערערים). ואולם אין בנתון האמור כדי לשנות מן העובדה, שבעת התרחשות התאונה המנוח לא מלא תפקיד בשירות משך פרק זמן של מעל 30 ימים. נציין, בבחינת למעלה מן הצורך, כי אפילו היינו מפחיתים את אותם ארבעה עשר ימי מנוחה מסך הימים שבהם המנוח לא מילא תפקיד בשירות, גם אז היה מדובר בפרק זמן העו</w:t>
      </w:r>
      <w:r w:rsidRPr="00CD1CB1">
        <w:rPr>
          <w:rFonts w:ascii="David" w:hAnsi="David" w:cs="David" w:hint="cs"/>
          <w:sz w:val="24"/>
          <w:szCs w:val="24"/>
          <w:rtl/>
        </w:rPr>
        <w:t>לה על 30 ימים (</w:t>
      </w:r>
      <w:r w:rsidRPr="00CD1CB1">
        <w:rPr>
          <w:rFonts w:ascii="David" w:hAnsi="David" w:cs="David" w:hint="cs"/>
          <w:color w:val="000000"/>
          <w:sz w:val="24"/>
          <w:szCs w:val="24"/>
          <w:rtl/>
        </w:rPr>
        <w:t xml:space="preserve">לעניין תנאי זה ראו והשוו, פרשת </w:t>
      </w:r>
      <w:r w:rsidRPr="00CD1CB1">
        <w:rPr>
          <w:rFonts w:ascii="David" w:hAnsi="David" w:cs="David" w:hint="cs"/>
          <w:b/>
          <w:bCs/>
          <w:color w:val="000000"/>
          <w:sz w:val="24"/>
          <w:szCs w:val="24"/>
          <w:rtl/>
        </w:rPr>
        <w:t>בן שמעון</w:t>
      </w:r>
      <w:r w:rsidRPr="00CD1CB1">
        <w:rPr>
          <w:rFonts w:ascii="David" w:hAnsi="David" w:cs="David" w:hint="cs"/>
          <w:color w:val="000000"/>
          <w:sz w:val="24"/>
          <w:szCs w:val="24"/>
          <w:rtl/>
        </w:rPr>
        <w:t>, פיסקה 15)</w:t>
      </w:r>
      <w:r w:rsidRPr="00CD1CB1">
        <w:rPr>
          <w:rFonts w:ascii="David" w:hAnsi="David" w:cs="David" w:hint="cs"/>
          <w:sz w:val="24"/>
          <w:szCs w:val="24"/>
          <w:rtl/>
        </w:rPr>
        <w:t xml:space="preserve">. </w:t>
      </w:r>
    </w:p>
    <w:p w:rsidR="008110BF" w:rsidRPr="001946BC" w:rsidRDefault="008110BF" w:rsidP="008110BF">
      <w:pPr>
        <w:pStyle w:val="ad"/>
        <w:tabs>
          <w:tab w:val="left" w:pos="2868"/>
        </w:tabs>
        <w:spacing w:line="360" w:lineRule="auto"/>
        <w:ind w:left="1080"/>
        <w:jc w:val="both"/>
        <w:rPr>
          <w:rFonts w:ascii="David" w:hAnsi="David" w:cs="David"/>
          <w:sz w:val="24"/>
          <w:szCs w:val="24"/>
          <w:rtl/>
        </w:rPr>
      </w:pPr>
      <w:r w:rsidRPr="001946BC">
        <w:rPr>
          <w:rFonts w:ascii="David" w:hAnsi="David" w:cs="David" w:hint="cs"/>
          <w:sz w:val="24"/>
          <w:szCs w:val="24"/>
          <w:rtl/>
        </w:rPr>
        <w:t xml:space="preserve">   </w:t>
      </w:r>
    </w:p>
    <w:p w:rsidR="008110BF" w:rsidRDefault="008110BF" w:rsidP="008110BF">
      <w:pPr>
        <w:pStyle w:val="ad"/>
        <w:numPr>
          <w:ilvl w:val="0"/>
          <w:numId w:val="2"/>
        </w:numPr>
        <w:tabs>
          <w:tab w:val="left" w:pos="1633"/>
          <w:tab w:val="left" w:pos="2868"/>
        </w:tabs>
        <w:spacing w:line="360" w:lineRule="auto"/>
        <w:jc w:val="both"/>
        <w:rPr>
          <w:rFonts w:ascii="David" w:hAnsi="David" w:cs="David"/>
          <w:sz w:val="24"/>
          <w:szCs w:val="24"/>
        </w:rPr>
      </w:pPr>
      <w:r w:rsidRPr="006A6113">
        <w:rPr>
          <w:rFonts w:ascii="David" w:hAnsi="David" w:cs="David" w:hint="cs"/>
          <w:sz w:val="24"/>
          <w:szCs w:val="24"/>
          <w:u w:val="single"/>
          <w:rtl/>
        </w:rPr>
        <w:t>התנאי הקבוע בסעיף 2(א)(2א) לחוק חבלה שלא בעת מילוי תפקיד</w:t>
      </w:r>
      <w:r w:rsidRPr="006A6113">
        <w:rPr>
          <w:rFonts w:ascii="David" w:hAnsi="David" w:cs="David" w:hint="cs"/>
          <w:sz w:val="24"/>
          <w:szCs w:val="24"/>
          <w:rtl/>
        </w:rPr>
        <w:t>: "</w:t>
      </w:r>
      <w:r w:rsidRPr="006A6113">
        <w:rPr>
          <w:rStyle w:val="default"/>
          <w:rFonts w:ascii="David" w:hAnsi="David" w:cs="David"/>
          <w:color w:val="000000"/>
          <w:sz w:val="24"/>
          <w:szCs w:val="24"/>
          <w:rtl/>
        </w:rPr>
        <w:t>החבלה לא אירעה תוך כדי עיסוקו של החייל בעבודה, בעיסוק או בפעילות ספורטיבית, אשר נהוג לקבל בעבורם תמורה, בין בכסף ובין בשווה כסף, בין אם אושרו כדין לפי פקודות הצבא ובין אם לאו, בין אם בפועל ניתנה תמורה כאמור ובין אם לאו</w:t>
      </w:r>
      <w:r w:rsidRPr="006A6113">
        <w:rPr>
          <w:rStyle w:val="default"/>
          <w:rFonts w:ascii="David" w:hAnsi="David" w:cs="David" w:hint="cs"/>
          <w:color w:val="000000"/>
          <w:sz w:val="24"/>
          <w:szCs w:val="24"/>
          <w:rtl/>
        </w:rPr>
        <w:t>".</w:t>
      </w:r>
      <w:r w:rsidRPr="006A6113">
        <w:rPr>
          <w:rFonts w:ascii="David" w:hAnsi="David" w:cs="David" w:hint="cs"/>
          <w:sz w:val="24"/>
          <w:szCs w:val="24"/>
          <w:rtl/>
        </w:rPr>
        <w:t xml:space="preserve"> כזכור, המנוח מצא את מותו בבית העסק של אביו (המערער), וזאת כתוצאה מזרוע של מנוף אשר נפלה עליו. המערערים אמנם טענו כי המנוח לא הועסק על ידי אביו, אך הודו כי "[...] בתקופת החגים היה עוזר בלבד במקרים בודדים בלבד, ולא באופן רצוף כלל וכלל [...]" (סעיף 31 לתצהיר המערערת; סעיף 76 לתצהיר המערער). נציין, כי המערערים לא התייחסו באופן </w:t>
      </w:r>
      <w:r>
        <w:rPr>
          <w:rFonts w:ascii="David" w:hAnsi="David" w:cs="David" w:hint="cs"/>
          <w:sz w:val="24"/>
          <w:szCs w:val="24"/>
          <w:rtl/>
        </w:rPr>
        <w:t>מפורש</w:t>
      </w:r>
      <w:r w:rsidRPr="006A6113">
        <w:rPr>
          <w:rFonts w:ascii="David" w:hAnsi="David" w:cs="David" w:hint="cs"/>
          <w:sz w:val="24"/>
          <w:szCs w:val="24"/>
          <w:rtl/>
        </w:rPr>
        <w:t xml:space="preserve"> וישיר לשאלה האם במועד התרחשות התאונה המצערת, המנוח סייע למערער בעבודתו</w:t>
      </w:r>
      <w:r>
        <w:rPr>
          <w:rFonts w:ascii="David" w:hAnsi="David" w:cs="David" w:hint="cs"/>
          <w:sz w:val="24"/>
          <w:szCs w:val="24"/>
          <w:rtl/>
        </w:rPr>
        <w:t>; והרי מידע זה מצוי בידיעתם</w:t>
      </w:r>
      <w:r w:rsidRPr="006A6113">
        <w:rPr>
          <w:rFonts w:ascii="David" w:hAnsi="David" w:cs="David" w:hint="cs"/>
          <w:sz w:val="24"/>
          <w:szCs w:val="24"/>
          <w:rtl/>
        </w:rPr>
        <w:t>. עוד נציין, כי מדו"ח הפעולה של המשטרה עולה כי "על צווארו של הנפטר [המנוח] הייתה רצועה מחוברת לשלט רחוק המפעיל את המנוף" (נספח ח' לכתב התשובה מטעם המשיב).</w:t>
      </w:r>
    </w:p>
    <w:p w:rsidR="008110BF" w:rsidRPr="006A6113" w:rsidRDefault="008110BF" w:rsidP="008110BF">
      <w:pPr>
        <w:pStyle w:val="ad"/>
        <w:rPr>
          <w:rFonts w:ascii="David" w:hAnsi="David" w:cs="David"/>
          <w:sz w:val="24"/>
          <w:szCs w:val="24"/>
          <w:rtl/>
        </w:rPr>
      </w:pPr>
    </w:p>
    <w:p w:rsidR="008110BF" w:rsidRPr="006A6113" w:rsidRDefault="008110BF" w:rsidP="008110BF">
      <w:pPr>
        <w:pStyle w:val="ad"/>
        <w:tabs>
          <w:tab w:val="left" w:pos="1633"/>
          <w:tab w:val="left" w:pos="2868"/>
        </w:tabs>
        <w:spacing w:line="360" w:lineRule="auto"/>
        <w:ind w:left="1080"/>
        <w:jc w:val="both"/>
        <w:rPr>
          <w:rFonts w:ascii="David" w:hAnsi="David" w:cs="David"/>
          <w:sz w:val="24"/>
          <w:szCs w:val="24"/>
        </w:rPr>
      </w:pPr>
      <w:r>
        <w:rPr>
          <w:rFonts w:ascii="David" w:hAnsi="David" w:cs="David" w:hint="cs"/>
          <w:sz w:val="24"/>
          <w:szCs w:val="24"/>
          <w:rtl/>
        </w:rPr>
        <w:t xml:space="preserve">על רקע כלל האמור לעיל, דומה כי גם התנאי האמור אינו מתקיים. בהקשר זה נדגיש, כי בהתאם להוראות הסעיף אין חשיבות לשאלה האם המנוח קיבל תמורה בגין עבודתו בבית העסק של אביו (המערער) אם לאו, ודי בכך שמדובר בעיסוק אשר נהוג לקבל בעבורו תמורה. עוד נציין, כי החריג הנזכר בסעיף 2(א)(2א)(2) אינו רלוונטי לענייננו, שהרי אין חולק כי המנוח לא החזיק באישור עבודה מטעם צה"ל. </w:t>
      </w:r>
    </w:p>
    <w:p w:rsidR="008110BF" w:rsidRDefault="008110BF" w:rsidP="008110BF">
      <w:pPr>
        <w:tabs>
          <w:tab w:val="left" w:pos="2868"/>
        </w:tabs>
        <w:spacing w:line="360" w:lineRule="auto"/>
        <w:jc w:val="both"/>
        <w:rPr>
          <w:rFonts w:ascii="David" w:hAnsi="David"/>
          <w:b/>
          <w:bCs/>
          <w:u w:val="single"/>
          <w:rtl/>
        </w:rPr>
      </w:pPr>
    </w:p>
    <w:p w:rsidR="008110BF" w:rsidRDefault="008110BF" w:rsidP="008110BF">
      <w:pPr>
        <w:tabs>
          <w:tab w:val="left" w:pos="2868"/>
        </w:tabs>
        <w:spacing w:line="360" w:lineRule="auto"/>
        <w:jc w:val="both"/>
        <w:rPr>
          <w:rFonts w:ascii="David" w:hAnsi="David"/>
          <w:b/>
          <w:bCs/>
          <w:u w:val="single"/>
          <w:rtl/>
        </w:rPr>
      </w:pPr>
      <w:r w:rsidRPr="003F6B89">
        <w:rPr>
          <w:rFonts w:ascii="David" w:hAnsi="David" w:hint="cs"/>
          <w:b/>
          <w:bCs/>
          <w:u w:val="single"/>
          <w:rtl/>
        </w:rPr>
        <w:t>סוף דבר</w:t>
      </w:r>
    </w:p>
    <w:p w:rsidR="008110BF" w:rsidRDefault="008110BF" w:rsidP="008110BF">
      <w:pPr>
        <w:tabs>
          <w:tab w:val="left" w:pos="2868"/>
        </w:tabs>
        <w:spacing w:line="360" w:lineRule="auto"/>
        <w:jc w:val="both"/>
        <w:rPr>
          <w:rFonts w:ascii="David" w:hAnsi="David"/>
          <w:b/>
          <w:bCs/>
          <w:u w:val="single"/>
          <w:rtl/>
        </w:rPr>
      </w:pPr>
    </w:p>
    <w:p w:rsidR="008110BF" w:rsidRPr="007B2187" w:rsidRDefault="008110BF" w:rsidP="008110BF">
      <w:pPr>
        <w:pStyle w:val="ad"/>
        <w:numPr>
          <w:ilvl w:val="0"/>
          <w:numId w:val="1"/>
        </w:numPr>
        <w:tabs>
          <w:tab w:val="left" w:pos="2868"/>
        </w:tabs>
        <w:spacing w:line="360" w:lineRule="auto"/>
        <w:jc w:val="both"/>
        <w:rPr>
          <w:rFonts w:ascii="David" w:hAnsi="David" w:cs="David"/>
          <w:sz w:val="24"/>
          <w:szCs w:val="24"/>
          <w:rtl/>
        </w:rPr>
      </w:pPr>
      <w:r w:rsidRPr="007B2187">
        <w:rPr>
          <w:rFonts w:ascii="David" w:hAnsi="David" w:cs="David" w:hint="cs"/>
          <w:sz w:val="24"/>
          <w:szCs w:val="24"/>
          <w:rtl/>
        </w:rPr>
        <w:t xml:space="preserve">הגענו אפוא למסקנה כי תנאי ההכרה הקבועים בדין - הן אלה שבחוק משפחות </w:t>
      </w:r>
      <w:r>
        <w:rPr>
          <w:rFonts w:ascii="David" w:hAnsi="David" w:cs="David" w:hint="cs"/>
          <w:sz w:val="24"/>
          <w:szCs w:val="24"/>
          <w:rtl/>
        </w:rPr>
        <w:t xml:space="preserve">חיילים </w:t>
      </w:r>
      <w:r w:rsidRPr="007B2187">
        <w:rPr>
          <w:rFonts w:ascii="David" w:hAnsi="David" w:cs="David" w:hint="cs"/>
          <w:sz w:val="24"/>
          <w:szCs w:val="24"/>
          <w:rtl/>
        </w:rPr>
        <w:t>והן אלה שבחוק חבלה שלא בעת מילוי תפקיד - אינם מתקיימים בענייננו; וזאת גם אם נניח כי טענות המערערים ב</w:t>
      </w:r>
      <w:r>
        <w:rPr>
          <w:rFonts w:ascii="David" w:hAnsi="David" w:cs="David" w:hint="cs"/>
          <w:sz w:val="24"/>
          <w:szCs w:val="24"/>
          <w:rtl/>
        </w:rPr>
        <w:t>אשר לנ</w:t>
      </w:r>
      <w:r w:rsidRPr="007B2187">
        <w:rPr>
          <w:rFonts w:ascii="David" w:hAnsi="David" w:cs="David" w:hint="cs"/>
          <w:sz w:val="24"/>
          <w:szCs w:val="24"/>
          <w:rtl/>
        </w:rPr>
        <w:t xml:space="preserve">סיבות </w:t>
      </w:r>
      <w:r>
        <w:rPr>
          <w:rFonts w:ascii="David" w:hAnsi="David" w:cs="David" w:hint="cs"/>
          <w:sz w:val="24"/>
          <w:szCs w:val="24"/>
          <w:rtl/>
        </w:rPr>
        <w:t>א</w:t>
      </w:r>
      <w:r w:rsidRPr="007B2187">
        <w:rPr>
          <w:rFonts w:ascii="David" w:hAnsi="David" w:cs="David" w:hint="cs"/>
          <w:sz w:val="24"/>
          <w:szCs w:val="24"/>
          <w:rtl/>
        </w:rPr>
        <w:t>ש</w:t>
      </w:r>
      <w:r>
        <w:rPr>
          <w:rFonts w:ascii="David" w:hAnsi="David" w:cs="David" w:hint="cs"/>
          <w:sz w:val="24"/>
          <w:szCs w:val="24"/>
          <w:rtl/>
        </w:rPr>
        <w:t xml:space="preserve">ר </w:t>
      </w:r>
      <w:r w:rsidRPr="007B2187">
        <w:rPr>
          <w:rFonts w:ascii="David" w:hAnsi="David" w:cs="David" w:hint="cs"/>
          <w:sz w:val="24"/>
          <w:szCs w:val="24"/>
          <w:rtl/>
        </w:rPr>
        <w:t>הובילו את המנוח לעזוב את השירות, נכונות הן. כפי שצוין לעיל, כך נטתה לסבור גם וועד</w:t>
      </w:r>
      <w:r>
        <w:rPr>
          <w:rFonts w:ascii="David" w:hAnsi="David" w:cs="David" w:hint="cs"/>
          <w:sz w:val="24"/>
          <w:szCs w:val="24"/>
          <w:rtl/>
        </w:rPr>
        <w:t xml:space="preserve">ת </w:t>
      </w:r>
      <w:r w:rsidRPr="007B2187">
        <w:rPr>
          <w:rFonts w:ascii="David" w:hAnsi="David" w:cs="David" w:hint="cs"/>
          <w:sz w:val="24"/>
          <w:szCs w:val="24"/>
          <w:rtl/>
        </w:rPr>
        <w:t>ה</w:t>
      </w:r>
      <w:r>
        <w:rPr>
          <w:rFonts w:ascii="David" w:hAnsi="David" w:cs="David" w:hint="cs"/>
          <w:sz w:val="24"/>
          <w:szCs w:val="24"/>
          <w:rtl/>
        </w:rPr>
        <w:t>ערר</w:t>
      </w:r>
      <w:r w:rsidRPr="007B2187">
        <w:rPr>
          <w:rFonts w:ascii="David" w:hAnsi="David" w:cs="David" w:hint="cs"/>
          <w:sz w:val="24"/>
          <w:szCs w:val="24"/>
          <w:rtl/>
        </w:rPr>
        <w:t xml:space="preserve"> אשר נתנה את פסק הדין הקודם (ראו סעיף 9 לפסק הדין). ממילא אין מקום להתערבותנו בהחלטת המשיב מיום 24.1.2021, המותירה את דחיית תביעת ההכרה על כנה. נדגיש כי אין ב</w:t>
      </w:r>
      <w:r>
        <w:rPr>
          <w:rFonts w:ascii="David" w:hAnsi="David" w:cs="David" w:hint="cs"/>
          <w:sz w:val="24"/>
          <w:szCs w:val="24"/>
          <w:rtl/>
        </w:rPr>
        <w:t xml:space="preserve">מסקנה שאליה הגענו </w:t>
      </w:r>
      <w:r w:rsidRPr="007B2187">
        <w:rPr>
          <w:rFonts w:ascii="David" w:hAnsi="David" w:cs="David" w:hint="cs"/>
          <w:sz w:val="24"/>
          <w:szCs w:val="24"/>
          <w:rtl/>
        </w:rPr>
        <w:t>כדי לגרוע כהוא זה מן האמפטיה שאנו חשים כלפי המערערים, אשר איבדו את היקר להם מכל</w:t>
      </w:r>
      <w:r>
        <w:rPr>
          <w:rFonts w:ascii="David" w:hAnsi="David" w:cs="David" w:hint="cs"/>
          <w:sz w:val="24"/>
          <w:szCs w:val="24"/>
          <w:rtl/>
        </w:rPr>
        <w:t>.</w:t>
      </w:r>
      <w:r w:rsidRPr="007B2187">
        <w:rPr>
          <w:rFonts w:ascii="David" w:hAnsi="David" w:cs="David" w:hint="cs"/>
          <w:sz w:val="24"/>
          <w:szCs w:val="24"/>
          <w:rtl/>
        </w:rPr>
        <w:t xml:space="preserve"> אף אין ב</w:t>
      </w:r>
      <w:r>
        <w:rPr>
          <w:rFonts w:ascii="David" w:hAnsi="David" w:cs="David" w:hint="cs"/>
          <w:sz w:val="24"/>
          <w:szCs w:val="24"/>
          <w:rtl/>
        </w:rPr>
        <w:t>מסקנתנו</w:t>
      </w:r>
      <w:r w:rsidRPr="007B2187">
        <w:rPr>
          <w:rFonts w:ascii="David" w:hAnsi="David" w:cs="David" w:hint="cs"/>
          <w:sz w:val="24"/>
          <w:szCs w:val="24"/>
          <w:rtl/>
        </w:rPr>
        <w:t xml:space="preserve"> </w:t>
      </w:r>
      <w:r>
        <w:rPr>
          <w:rFonts w:ascii="David" w:hAnsi="David" w:cs="David" w:hint="cs"/>
          <w:sz w:val="24"/>
          <w:szCs w:val="24"/>
          <w:rtl/>
        </w:rPr>
        <w:t xml:space="preserve">האמורה </w:t>
      </w:r>
      <w:r w:rsidRPr="007B2187">
        <w:rPr>
          <w:rFonts w:ascii="David" w:hAnsi="David" w:cs="David" w:hint="cs"/>
          <w:sz w:val="24"/>
          <w:szCs w:val="24"/>
          <w:rtl/>
        </w:rPr>
        <w:t>כדי להביע עמדה ביחס לשאלה האם אופן ההתנהלות של הצבא ושל מפקדיו כלפי המנוח, הייתה ראויה ותקינה אם לאו.</w:t>
      </w:r>
    </w:p>
    <w:p w:rsidR="008110BF" w:rsidRDefault="008110BF" w:rsidP="008110BF">
      <w:pPr>
        <w:tabs>
          <w:tab w:val="left" w:pos="2868"/>
        </w:tabs>
        <w:spacing w:line="360" w:lineRule="auto"/>
        <w:jc w:val="both"/>
        <w:rPr>
          <w:rFonts w:ascii="David" w:hAnsi="David"/>
          <w:rtl/>
        </w:rPr>
      </w:pPr>
    </w:p>
    <w:p w:rsidR="008110BF" w:rsidRDefault="008110BF" w:rsidP="008110BF">
      <w:pPr>
        <w:pStyle w:val="ad"/>
        <w:numPr>
          <w:ilvl w:val="0"/>
          <w:numId w:val="1"/>
        </w:numPr>
        <w:tabs>
          <w:tab w:val="left" w:pos="2868"/>
        </w:tabs>
        <w:spacing w:line="360" w:lineRule="auto"/>
        <w:jc w:val="both"/>
        <w:rPr>
          <w:rFonts w:ascii="David" w:hAnsi="David" w:cs="David"/>
          <w:sz w:val="24"/>
          <w:szCs w:val="24"/>
        </w:rPr>
      </w:pPr>
      <w:r w:rsidRPr="007B2187">
        <w:rPr>
          <w:rFonts w:ascii="David" w:hAnsi="David" w:cs="David" w:hint="cs"/>
          <w:sz w:val="24"/>
          <w:szCs w:val="24"/>
          <w:rtl/>
        </w:rPr>
        <w:t xml:space="preserve">סוף דבר, אנו מורים על דחיית הערעור. לפנים משורת הדין ונוכח נסיבות המקרה, לא ייעשה צו להוצאות. </w:t>
      </w:r>
    </w:p>
    <w:p w:rsidR="008110BF" w:rsidRPr="00DA36B3" w:rsidRDefault="008110BF" w:rsidP="008110BF">
      <w:pPr>
        <w:pStyle w:val="ad"/>
        <w:rPr>
          <w:rFonts w:ascii="David" w:hAnsi="David" w:cs="David"/>
          <w:sz w:val="24"/>
          <w:szCs w:val="24"/>
          <w:rtl/>
        </w:rPr>
      </w:pPr>
    </w:p>
    <w:p w:rsidR="008110BF" w:rsidRDefault="008110BF" w:rsidP="008110BF">
      <w:pPr>
        <w:pStyle w:val="ad"/>
        <w:tabs>
          <w:tab w:val="left" w:pos="2868"/>
        </w:tabs>
        <w:spacing w:line="360" w:lineRule="auto"/>
        <w:jc w:val="both"/>
        <w:rPr>
          <w:rFonts w:ascii="David" w:hAnsi="David" w:cs="David"/>
          <w:sz w:val="24"/>
          <w:szCs w:val="24"/>
        </w:rPr>
      </w:pPr>
      <w:r>
        <w:rPr>
          <w:rFonts w:ascii="David" w:hAnsi="David" w:cs="David" w:hint="cs"/>
          <w:sz w:val="24"/>
          <w:szCs w:val="24"/>
          <w:rtl/>
        </w:rPr>
        <w:t>פסק הדין מותר לפרסום ללא פרטים מזהים.</w:t>
      </w:r>
    </w:p>
    <w:p w:rsidR="008110BF" w:rsidRPr="00DA36B3" w:rsidRDefault="008110BF" w:rsidP="008110BF">
      <w:pPr>
        <w:pStyle w:val="ad"/>
        <w:rPr>
          <w:rFonts w:ascii="David" w:hAnsi="David" w:cs="David"/>
          <w:sz w:val="24"/>
          <w:szCs w:val="24"/>
          <w:rtl/>
        </w:rPr>
      </w:pPr>
    </w:p>
    <w:p w:rsidR="008110BF" w:rsidRDefault="008110BF" w:rsidP="008110BF">
      <w:pPr>
        <w:tabs>
          <w:tab w:val="left" w:pos="2868"/>
        </w:tabs>
        <w:spacing w:line="360" w:lineRule="auto"/>
        <w:jc w:val="both"/>
        <w:rPr>
          <w:rFonts w:ascii="David" w:hAnsi="David"/>
          <w:rtl/>
        </w:rPr>
      </w:pPr>
      <w:r>
        <w:rPr>
          <w:rFonts w:ascii="David" w:hAnsi="David"/>
          <w:rtl/>
        </w:rPr>
        <w:tab/>
      </w:r>
      <w:r>
        <w:rPr>
          <w:rFonts w:ascii="David" w:hAnsi="David"/>
          <w:rtl/>
        </w:rPr>
        <w:tab/>
      </w:r>
    </w:p>
    <w:p w:rsidR="008110BF" w:rsidRDefault="008110BF" w:rsidP="008110BF">
      <w:pPr>
        <w:tabs>
          <w:tab w:val="left" w:pos="2868"/>
        </w:tabs>
        <w:spacing w:line="360" w:lineRule="auto"/>
        <w:jc w:val="both"/>
        <w:rPr>
          <w:rFonts w:ascii="David" w:hAnsi="David"/>
          <w:rtl/>
        </w:rPr>
      </w:pPr>
    </w:p>
    <w:p w:rsidR="008110BF" w:rsidRDefault="008110BF" w:rsidP="008110BF">
      <w:pPr>
        <w:tabs>
          <w:tab w:val="left" w:pos="2868"/>
        </w:tabs>
        <w:spacing w:line="360" w:lineRule="auto"/>
        <w:jc w:val="both"/>
        <w:rPr>
          <w:rFonts w:ascii="David" w:hAnsi="David"/>
          <w:rtl/>
        </w:rPr>
      </w:pPr>
      <w:r>
        <w:rPr>
          <w:rFonts w:ascii="David" w:hAnsi="David" w:hint="cs"/>
          <w:rtl/>
        </w:rPr>
        <w:t>_____________________</w:t>
      </w:r>
      <w:r>
        <w:rPr>
          <w:rFonts w:ascii="David" w:hAnsi="David"/>
          <w:rtl/>
        </w:rPr>
        <w:tab/>
      </w:r>
      <w:r>
        <w:rPr>
          <w:rFonts w:ascii="David" w:hAnsi="David" w:hint="cs"/>
          <w:rtl/>
        </w:rPr>
        <w:t xml:space="preserve">  ___________________</w:t>
      </w:r>
      <w:r>
        <w:rPr>
          <w:rFonts w:ascii="David" w:hAnsi="David"/>
          <w:rtl/>
        </w:rPr>
        <w:tab/>
      </w:r>
      <w:r>
        <w:rPr>
          <w:rFonts w:ascii="David" w:hAnsi="David" w:hint="cs"/>
          <w:rtl/>
        </w:rPr>
        <w:t>____________________</w:t>
      </w:r>
    </w:p>
    <w:p w:rsidR="008110BF" w:rsidRPr="004E3E44" w:rsidRDefault="008110BF" w:rsidP="008110BF">
      <w:pPr>
        <w:tabs>
          <w:tab w:val="left" w:pos="2868"/>
        </w:tabs>
        <w:spacing w:line="360" w:lineRule="auto"/>
        <w:jc w:val="both"/>
        <w:rPr>
          <w:rFonts w:ascii="David" w:hAnsi="David"/>
          <w:rtl/>
        </w:rPr>
      </w:pPr>
      <w:r w:rsidRPr="004E3E44">
        <w:rPr>
          <w:rFonts w:ascii="David" w:hAnsi="David" w:hint="cs"/>
          <w:rtl/>
        </w:rPr>
        <w:t>הש</w:t>
      </w:r>
      <w:r>
        <w:rPr>
          <w:rFonts w:ascii="David" w:hAnsi="David" w:hint="cs"/>
          <w:rtl/>
        </w:rPr>
        <w:t xml:space="preserve">ופט גלעד לובינסקי זיו, יו"ר </w:t>
      </w:r>
      <w:r>
        <w:rPr>
          <w:rFonts w:ascii="David" w:hAnsi="David"/>
          <w:rtl/>
        </w:rPr>
        <w:tab/>
      </w:r>
      <w:r>
        <w:rPr>
          <w:rFonts w:ascii="David" w:hAnsi="David"/>
          <w:rtl/>
        </w:rPr>
        <w:tab/>
      </w:r>
      <w:r>
        <w:rPr>
          <w:rFonts w:ascii="David" w:hAnsi="David" w:hint="cs"/>
          <w:rtl/>
        </w:rPr>
        <w:t xml:space="preserve">      פרופ' יעקב יהב </w:t>
      </w:r>
      <w:r>
        <w:rPr>
          <w:rFonts w:ascii="David" w:hAnsi="David"/>
          <w:rtl/>
        </w:rPr>
        <w:t>–</w:t>
      </w:r>
      <w:r>
        <w:rPr>
          <w:rFonts w:ascii="David" w:hAnsi="David" w:hint="cs"/>
          <w:rtl/>
        </w:rPr>
        <w:t xml:space="preserve"> חבר </w:t>
      </w:r>
      <w:r>
        <w:rPr>
          <w:rFonts w:ascii="David" w:hAnsi="David"/>
          <w:rtl/>
        </w:rPr>
        <w:tab/>
      </w:r>
      <w:r>
        <w:rPr>
          <w:rFonts w:ascii="David" w:hAnsi="David" w:hint="cs"/>
          <w:rtl/>
        </w:rPr>
        <w:t>ד"ר איריס אמה חזן - חברה</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אוגוסט 2023</w:t>
          </w:r>
        </w:sdtContent>
      </w:sdt>
      <w:r w:rsidR="00005C8B">
        <w:rPr>
          <w:rFonts w:ascii="Arial" w:hAnsi="Arial"/>
          <w:noProof w:val="0"/>
          <w:rtl/>
        </w:rPr>
        <w:t>, בהעדר הצדדים.</w:t>
      </w:r>
    </w:p>
    <w:p w:rsidR="00C43648" w:rsidRDefault="00791EB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42171984"/>
        </w:sdtPr>
        <w:sdtEndPr/>
        <w:sdtContent>
          <w:r w:rsidR="00D453AC">
            <w:drawing>
              <wp:inline distT="0" distB="0" distL="0" distR="0" wp14:editId="50D07946">
                <wp:extent cx="2146300" cy="1511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2146300" cy="1511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4"/>
      <w:headerReference w:type="default" r:id="rId15"/>
      <w:footerReference w:type="even" r:id="rId16"/>
      <w:footerReference w:type="default" r:id="rId17"/>
      <w:headerReference w:type="first" r:id="rId18"/>
      <w:footerReference w:type="first" r:id="rId19"/>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EB7" w:rsidRDefault="00791EB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91EB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91EB7">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EB7" w:rsidRDefault="00791EB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EB7" w:rsidRDefault="00791EB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91EB7"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עמ"ח</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25942-03-21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פלוני נ' קצין התגמולים-משרד הבטחון-אגף השיקום</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EB7" w:rsidRDefault="00791EB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E4E62"/>
    <w:multiLevelType w:val="hybridMultilevel"/>
    <w:tmpl w:val="AC826E9E"/>
    <w:lvl w:ilvl="0" w:tplc="27925C20">
      <w:start w:val="1"/>
      <w:numFmt w:val="decimal"/>
      <w:lvlText w:val="%1."/>
      <w:lvlJc w:val="left"/>
      <w:pPr>
        <w:ind w:left="720" w:hanging="360"/>
      </w:pPr>
      <w:rPr>
        <w:rFonts w:ascii="David" w:hAnsi="David" w:cs="David" w:hint="default"/>
        <w:b w:val="0"/>
        <w:bCs w:val="0"/>
        <w:sz w:val="24"/>
        <w:szCs w:val="24"/>
        <w:lang w:val="en-US"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245A78"/>
    <w:multiLevelType w:val="hybridMultilevel"/>
    <w:tmpl w:val="3E6C0626"/>
    <w:lvl w:ilvl="0" w:tplc="372C13B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0017B61"/>
    <w:multiLevelType w:val="hybridMultilevel"/>
    <w:tmpl w:val="DB90D432"/>
    <w:lvl w:ilvl="0" w:tplc="639CC2C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hdrShapeDefaults>
    <o:shapedefaults v:ext="edit" spidmax="214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0C32"/>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21C7"/>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A38C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1EB7"/>
    <w:rsid w:val="00795365"/>
    <w:rsid w:val="007A351D"/>
    <w:rsid w:val="007B39AA"/>
    <w:rsid w:val="007B7765"/>
    <w:rsid w:val="007C2453"/>
    <w:rsid w:val="007C5BDD"/>
    <w:rsid w:val="007D45E3"/>
    <w:rsid w:val="007E6115"/>
    <w:rsid w:val="007F4609"/>
    <w:rsid w:val="00805EFF"/>
    <w:rsid w:val="008110B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2199"/>
    <w:rsid w:val="00A85E34"/>
    <w:rsid w:val="00A9144F"/>
    <w:rsid w:val="00A94B64"/>
    <w:rsid w:val="00AA3229"/>
    <w:rsid w:val="00AA7596"/>
    <w:rsid w:val="00AB3AE3"/>
    <w:rsid w:val="00AB5E52"/>
    <w:rsid w:val="00AC3B02"/>
    <w:rsid w:val="00AC3B7B"/>
    <w:rsid w:val="00AC5209"/>
    <w:rsid w:val="00AE0E34"/>
    <w:rsid w:val="00AE19A0"/>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2CF6"/>
    <w:rsid w:val="00CC7622"/>
    <w:rsid w:val="00CD608F"/>
    <w:rsid w:val="00CF6BB7"/>
    <w:rsid w:val="00D04AA4"/>
    <w:rsid w:val="00D27982"/>
    <w:rsid w:val="00D33B86"/>
    <w:rsid w:val="00D44968"/>
    <w:rsid w:val="00D453AC"/>
    <w:rsid w:val="00D53924"/>
    <w:rsid w:val="00D55D0C"/>
    <w:rsid w:val="00D62A72"/>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110BF"/>
    <w:pPr>
      <w:spacing w:after="160" w:line="259" w:lineRule="auto"/>
      <w:ind w:left="720"/>
      <w:contextualSpacing/>
    </w:pPr>
    <w:rPr>
      <w:rFonts w:asciiTheme="minorHAnsi" w:eastAsiaTheme="minorHAnsi" w:hAnsiTheme="minorHAnsi" w:cstheme="minorBidi"/>
      <w:noProof w:val="0"/>
      <w:sz w:val="22"/>
      <w:szCs w:val="22"/>
    </w:rPr>
  </w:style>
  <w:style w:type="character" w:customStyle="1" w:styleId="default">
    <w:name w:val="default"/>
    <w:basedOn w:val="a0"/>
    <w:rsid w:val="00811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nevo.co.il/case/17920284"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811478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E5C40" w:rsidP="005E5C40">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5E5C40"/>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E5C4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E5C4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4211</Words>
  <Characters>19709</Characters>
  <Application>Microsoft Office Word</Application>
  <DocSecurity>4</DocSecurity>
  <Lines>469</Lines>
  <Paragraphs>81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2023-08-17T08:04:00Z</dcterms:created>
  <dcterms:modified xsi:type="dcterms:W3CDTF">2023-08-17T08:04:00Z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d93fad89172a75f3bacbacf1a8eb4eead511d5abcf7411affad37415ad18bc2e</vt:lpwstr>
  </property>
</Properties>
</file>